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78FE7">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山东财经大学东方学院工商管理学院</w:t>
      </w:r>
    </w:p>
    <w:p w14:paraId="484CB52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本专科学生转专业工作实施方案</w:t>
      </w:r>
    </w:p>
    <w:p w14:paraId="69A1D7F8"/>
    <w:p w14:paraId="7927A6D4">
      <w:pPr>
        <w:ind w:firstLine="640" w:firstLineChars="200"/>
        <w:rPr>
          <w:rFonts w:hint="eastAsia" w:ascii="黑体" w:hAnsi="黑体" w:eastAsia="黑体"/>
          <w:sz w:val="32"/>
          <w:szCs w:val="32"/>
        </w:rPr>
      </w:pPr>
      <w:r>
        <w:rPr>
          <w:rFonts w:hint="eastAsia" w:ascii="黑体" w:hAnsi="黑体" w:eastAsia="黑体"/>
          <w:sz w:val="32"/>
          <w:szCs w:val="32"/>
        </w:rPr>
        <w:t>第一条 领导小组</w:t>
      </w:r>
    </w:p>
    <w:p w14:paraId="178344D9">
      <w:pPr>
        <w:ind w:firstLine="640" w:firstLineChars="200"/>
        <w:rPr>
          <w:rFonts w:ascii="仿宋_GB2312" w:eastAsia="仿宋_GB2312"/>
          <w:sz w:val="32"/>
          <w:szCs w:val="32"/>
        </w:rPr>
      </w:pPr>
      <w:r>
        <w:rPr>
          <w:rFonts w:hint="eastAsia" w:ascii="仿宋_GB2312" w:eastAsia="仿宋_GB2312"/>
          <w:sz w:val="32"/>
          <w:szCs w:val="32"/>
        </w:rPr>
        <w:t>学院成立以李秀荣为组长，高爱霞、梁承磊为副组长的领导小组，全面负责转专业工作部署。同时，成立以高爱霞为组长的工作小组，工作组成员为白立洋、刘浩、刘慧、高贤敏、毕雅男，配合完成转专业的各项工作。</w:t>
      </w:r>
    </w:p>
    <w:p w14:paraId="227ECDDE">
      <w:pPr>
        <w:ind w:firstLine="640" w:firstLineChars="200"/>
        <w:rPr>
          <w:rFonts w:hint="eastAsia" w:ascii="黑体" w:hAnsi="黑体" w:eastAsia="黑体"/>
          <w:sz w:val="32"/>
          <w:szCs w:val="32"/>
        </w:rPr>
      </w:pPr>
      <w:r>
        <w:rPr>
          <w:rFonts w:hint="eastAsia" w:ascii="黑体" w:hAnsi="黑体" w:eastAsia="黑体"/>
          <w:sz w:val="32"/>
          <w:szCs w:val="32"/>
        </w:rPr>
        <w:t>第二条 接收专业与接收计划</w:t>
      </w:r>
    </w:p>
    <w:p w14:paraId="686215CF">
      <w:pPr>
        <w:ind w:firstLine="640" w:firstLineChars="200"/>
        <w:rPr>
          <w:rFonts w:ascii="仿宋_GB2312" w:eastAsia="仿宋_GB2312"/>
          <w:sz w:val="32"/>
          <w:szCs w:val="32"/>
        </w:rPr>
      </w:pPr>
      <w:r>
        <w:rPr>
          <w:rFonts w:hint="eastAsia" w:ascii="仿宋_GB2312" w:eastAsia="仿宋_GB2312"/>
          <w:sz w:val="32"/>
          <w:szCs w:val="32"/>
        </w:rPr>
        <w:t>根据学院专业建设需要、各专业现有学生人数及教学资源条件确定接收专业和计划为：</w:t>
      </w:r>
    </w:p>
    <w:tbl>
      <w:tblPr>
        <w:tblStyle w:val="4"/>
        <w:tblW w:w="8073"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2123"/>
        <w:gridCol w:w="1394"/>
        <w:gridCol w:w="945"/>
        <w:gridCol w:w="1250"/>
        <w:gridCol w:w="2361"/>
      </w:tblGrid>
      <w:tr w14:paraId="483B9FA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trHeight w:val="733" w:hRule="atLeast"/>
          <w:jc w:val="center"/>
        </w:trPr>
        <w:tc>
          <w:tcPr>
            <w:tcW w:w="2123" w:type="dxa"/>
            <w:tcBorders>
              <w:top w:val="single" w:color="auto" w:sz="4" w:space="0"/>
              <w:left w:val="single" w:color="auto" w:sz="4" w:space="0"/>
              <w:bottom w:val="single" w:color="auto" w:sz="6" w:space="0"/>
              <w:right w:val="single" w:color="auto" w:sz="4" w:space="0"/>
            </w:tcBorders>
            <w:vAlign w:val="center"/>
          </w:tcPr>
          <w:p w14:paraId="1DE329AA">
            <w:pPr>
              <w:autoSpaceDE w:val="0"/>
              <w:spacing w:line="400" w:lineRule="exact"/>
              <w:jc w:val="center"/>
              <w:rPr>
                <w:rFonts w:hint="eastAsia" w:ascii="仿宋_GB2312" w:eastAsia="仿宋_GB2312"/>
                <w:b/>
                <w:bCs/>
                <w:sz w:val="32"/>
                <w:szCs w:val="32"/>
              </w:rPr>
            </w:pPr>
            <w:r>
              <w:rPr>
                <w:rFonts w:hint="eastAsia" w:ascii="仿宋_GB2312" w:eastAsia="仿宋_GB2312"/>
                <w:b/>
                <w:bCs/>
                <w:sz w:val="32"/>
                <w:szCs w:val="32"/>
              </w:rPr>
              <w:t>专业名称</w:t>
            </w:r>
          </w:p>
        </w:tc>
        <w:tc>
          <w:tcPr>
            <w:tcW w:w="1394" w:type="dxa"/>
            <w:tcBorders>
              <w:top w:val="single" w:color="auto" w:sz="4" w:space="0"/>
              <w:left w:val="single" w:color="auto" w:sz="6" w:space="0"/>
              <w:bottom w:val="single" w:color="auto" w:sz="6" w:space="0"/>
              <w:right w:val="single" w:color="auto" w:sz="6" w:space="0"/>
            </w:tcBorders>
            <w:vAlign w:val="center"/>
          </w:tcPr>
          <w:p w14:paraId="17E2562F">
            <w:pPr>
              <w:autoSpaceDE w:val="0"/>
              <w:spacing w:line="400" w:lineRule="exact"/>
              <w:jc w:val="center"/>
              <w:rPr>
                <w:rFonts w:hint="eastAsia" w:ascii="仿宋_GB2312" w:eastAsia="仿宋_GB2312"/>
                <w:b/>
                <w:bCs/>
                <w:sz w:val="32"/>
                <w:szCs w:val="32"/>
              </w:rPr>
            </w:pPr>
            <w:r>
              <w:rPr>
                <w:rFonts w:hint="eastAsia" w:ascii="仿宋_GB2312" w:eastAsia="仿宋_GB2312"/>
                <w:b/>
                <w:bCs/>
                <w:sz w:val="32"/>
                <w:szCs w:val="32"/>
              </w:rPr>
              <w:t>学生数</w:t>
            </w:r>
          </w:p>
        </w:tc>
        <w:tc>
          <w:tcPr>
            <w:tcW w:w="945" w:type="dxa"/>
            <w:tcBorders>
              <w:top w:val="single" w:color="auto" w:sz="4" w:space="0"/>
              <w:left w:val="single" w:color="auto" w:sz="6" w:space="0"/>
              <w:bottom w:val="single" w:color="auto" w:sz="6" w:space="0"/>
              <w:right w:val="single" w:color="auto" w:sz="6" w:space="0"/>
            </w:tcBorders>
            <w:vAlign w:val="center"/>
          </w:tcPr>
          <w:p w14:paraId="7A7C0B2B">
            <w:pPr>
              <w:autoSpaceDE w:val="0"/>
              <w:spacing w:line="400" w:lineRule="exact"/>
              <w:jc w:val="center"/>
              <w:rPr>
                <w:rFonts w:hint="eastAsia" w:ascii="仿宋_GB2312" w:eastAsia="仿宋_GB2312"/>
                <w:b/>
                <w:bCs/>
                <w:sz w:val="32"/>
                <w:szCs w:val="32"/>
              </w:rPr>
            </w:pPr>
            <w:r>
              <w:rPr>
                <w:rFonts w:hint="eastAsia" w:ascii="仿宋_GB2312" w:eastAsia="仿宋_GB2312"/>
                <w:b/>
                <w:bCs/>
                <w:sz w:val="32"/>
                <w:szCs w:val="32"/>
              </w:rPr>
              <w:t>层次</w:t>
            </w:r>
          </w:p>
        </w:tc>
        <w:tc>
          <w:tcPr>
            <w:tcW w:w="1250" w:type="dxa"/>
            <w:tcBorders>
              <w:top w:val="single" w:color="auto" w:sz="4" w:space="0"/>
              <w:left w:val="single" w:color="auto" w:sz="6" w:space="0"/>
              <w:bottom w:val="single" w:color="auto" w:sz="6" w:space="0"/>
              <w:right w:val="single" w:color="auto" w:sz="6" w:space="0"/>
            </w:tcBorders>
            <w:vAlign w:val="center"/>
          </w:tcPr>
          <w:p w14:paraId="605A31AE">
            <w:pPr>
              <w:autoSpaceDE w:val="0"/>
              <w:spacing w:line="400" w:lineRule="exact"/>
              <w:jc w:val="center"/>
              <w:rPr>
                <w:rFonts w:hint="eastAsia" w:ascii="仿宋_GB2312" w:eastAsia="仿宋_GB2312"/>
                <w:b/>
                <w:bCs/>
                <w:sz w:val="32"/>
                <w:szCs w:val="32"/>
              </w:rPr>
            </w:pPr>
            <w:r>
              <w:rPr>
                <w:rFonts w:hint="eastAsia" w:ascii="仿宋_GB2312" w:eastAsia="仿宋_GB2312"/>
                <w:b/>
                <w:bCs/>
                <w:sz w:val="32"/>
                <w:szCs w:val="32"/>
              </w:rPr>
              <w:t>学制</w:t>
            </w:r>
          </w:p>
        </w:tc>
        <w:tc>
          <w:tcPr>
            <w:tcW w:w="2361" w:type="dxa"/>
            <w:tcBorders>
              <w:top w:val="single" w:color="auto" w:sz="4" w:space="0"/>
              <w:left w:val="single" w:color="auto" w:sz="6" w:space="0"/>
              <w:bottom w:val="single" w:color="auto" w:sz="6" w:space="0"/>
              <w:right w:val="single" w:color="auto" w:sz="4" w:space="0"/>
            </w:tcBorders>
            <w:vAlign w:val="center"/>
          </w:tcPr>
          <w:p w14:paraId="24855753">
            <w:pPr>
              <w:autoSpaceDE w:val="0"/>
              <w:spacing w:line="400" w:lineRule="exact"/>
              <w:jc w:val="center"/>
              <w:rPr>
                <w:rFonts w:ascii="仿宋_GB2312" w:hAnsi="Tahoma" w:eastAsia="仿宋_GB2312"/>
                <w:b/>
                <w:bCs/>
                <w:sz w:val="32"/>
                <w:szCs w:val="32"/>
              </w:rPr>
            </w:pPr>
            <w:r>
              <w:rPr>
                <w:rFonts w:hint="eastAsia" w:ascii="仿宋_GB2312" w:eastAsia="仿宋_GB2312"/>
                <w:b/>
                <w:bCs/>
                <w:sz w:val="32"/>
                <w:szCs w:val="32"/>
              </w:rPr>
              <w:t>可接收学生数</w:t>
            </w:r>
          </w:p>
        </w:tc>
      </w:tr>
      <w:tr w14:paraId="423F702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2123" w:type="dxa"/>
            <w:tcBorders>
              <w:top w:val="single" w:color="auto" w:sz="6" w:space="0"/>
              <w:left w:val="single" w:color="auto" w:sz="4" w:space="0"/>
              <w:bottom w:val="single" w:color="auto" w:sz="6" w:space="0"/>
              <w:right w:val="single" w:color="auto" w:sz="4" w:space="0"/>
            </w:tcBorders>
            <w:vAlign w:val="center"/>
          </w:tcPr>
          <w:p w14:paraId="07BE0E18">
            <w:pPr>
              <w:autoSpaceDE w:val="0"/>
              <w:spacing w:line="4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大数据管理与应用</w:t>
            </w:r>
          </w:p>
        </w:tc>
        <w:tc>
          <w:tcPr>
            <w:tcW w:w="1394" w:type="dxa"/>
            <w:tcBorders>
              <w:top w:val="single" w:color="auto" w:sz="6" w:space="0"/>
              <w:left w:val="single" w:color="auto" w:sz="6" w:space="0"/>
              <w:bottom w:val="single" w:color="auto" w:sz="6" w:space="0"/>
              <w:right w:val="single" w:color="auto" w:sz="6" w:space="0"/>
            </w:tcBorders>
            <w:noWrap/>
            <w:vAlign w:val="center"/>
          </w:tcPr>
          <w:p w14:paraId="08116CEE">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37</w:t>
            </w:r>
          </w:p>
        </w:tc>
        <w:tc>
          <w:tcPr>
            <w:tcW w:w="945" w:type="dxa"/>
            <w:tcBorders>
              <w:top w:val="single" w:color="auto" w:sz="6" w:space="0"/>
              <w:left w:val="single" w:color="auto" w:sz="6" w:space="0"/>
              <w:bottom w:val="single" w:color="auto" w:sz="6" w:space="0"/>
              <w:right w:val="single" w:color="auto" w:sz="6" w:space="0"/>
            </w:tcBorders>
            <w:noWrap/>
            <w:vAlign w:val="center"/>
          </w:tcPr>
          <w:p w14:paraId="60C9C3E1">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本科</w:t>
            </w:r>
          </w:p>
        </w:tc>
        <w:tc>
          <w:tcPr>
            <w:tcW w:w="1250" w:type="dxa"/>
            <w:tcBorders>
              <w:top w:val="single" w:color="auto" w:sz="6" w:space="0"/>
              <w:left w:val="single" w:color="auto" w:sz="6" w:space="0"/>
              <w:bottom w:val="single" w:color="auto" w:sz="6" w:space="0"/>
              <w:right w:val="single" w:color="auto" w:sz="6" w:space="0"/>
            </w:tcBorders>
            <w:noWrap/>
            <w:vAlign w:val="center"/>
          </w:tcPr>
          <w:p w14:paraId="35B50A3D">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4</w:t>
            </w:r>
          </w:p>
        </w:tc>
        <w:tc>
          <w:tcPr>
            <w:tcW w:w="2361" w:type="dxa"/>
            <w:tcBorders>
              <w:top w:val="single" w:color="auto" w:sz="6" w:space="0"/>
              <w:left w:val="single" w:color="auto" w:sz="6" w:space="0"/>
              <w:bottom w:val="single" w:color="auto" w:sz="6" w:space="0"/>
              <w:right w:val="single" w:color="auto" w:sz="4" w:space="0"/>
            </w:tcBorders>
            <w:noWrap/>
            <w:vAlign w:val="center"/>
          </w:tcPr>
          <w:p w14:paraId="08DAC98F">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4人</w:t>
            </w:r>
          </w:p>
        </w:tc>
      </w:tr>
      <w:tr w14:paraId="7CDDE6F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2123" w:type="dxa"/>
            <w:tcBorders>
              <w:top w:val="single" w:color="auto" w:sz="6" w:space="0"/>
              <w:left w:val="single" w:color="auto" w:sz="4" w:space="0"/>
              <w:bottom w:val="single" w:color="auto" w:sz="6" w:space="0"/>
              <w:right w:val="single" w:color="auto" w:sz="4" w:space="0"/>
            </w:tcBorders>
            <w:vAlign w:val="center"/>
          </w:tcPr>
          <w:p w14:paraId="4F6E2BE8">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市场营销</w:t>
            </w:r>
          </w:p>
        </w:tc>
        <w:tc>
          <w:tcPr>
            <w:tcW w:w="1394" w:type="dxa"/>
            <w:tcBorders>
              <w:top w:val="single" w:color="auto" w:sz="6" w:space="0"/>
              <w:left w:val="single" w:color="auto" w:sz="6" w:space="0"/>
              <w:bottom w:val="single" w:color="auto" w:sz="6" w:space="0"/>
              <w:right w:val="single" w:color="auto" w:sz="6" w:space="0"/>
            </w:tcBorders>
            <w:noWrap/>
            <w:vAlign w:val="center"/>
          </w:tcPr>
          <w:p w14:paraId="3DD9F840">
            <w:pPr>
              <w:autoSpaceDE w:val="0"/>
              <w:spacing w:line="4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44</w:t>
            </w:r>
          </w:p>
        </w:tc>
        <w:tc>
          <w:tcPr>
            <w:tcW w:w="945" w:type="dxa"/>
            <w:tcBorders>
              <w:top w:val="single" w:color="auto" w:sz="6" w:space="0"/>
              <w:left w:val="single" w:color="auto" w:sz="6" w:space="0"/>
              <w:bottom w:val="single" w:color="auto" w:sz="6" w:space="0"/>
              <w:right w:val="single" w:color="auto" w:sz="6" w:space="0"/>
            </w:tcBorders>
            <w:noWrap/>
            <w:vAlign w:val="center"/>
          </w:tcPr>
          <w:p w14:paraId="66615BC2">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本科</w:t>
            </w:r>
          </w:p>
        </w:tc>
        <w:tc>
          <w:tcPr>
            <w:tcW w:w="1250" w:type="dxa"/>
            <w:tcBorders>
              <w:top w:val="single" w:color="auto" w:sz="6" w:space="0"/>
              <w:left w:val="single" w:color="auto" w:sz="6" w:space="0"/>
              <w:bottom w:val="single" w:color="auto" w:sz="6" w:space="0"/>
              <w:right w:val="single" w:color="auto" w:sz="6" w:space="0"/>
            </w:tcBorders>
            <w:noWrap/>
            <w:vAlign w:val="center"/>
          </w:tcPr>
          <w:p w14:paraId="1690CED4">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4</w:t>
            </w:r>
          </w:p>
        </w:tc>
        <w:tc>
          <w:tcPr>
            <w:tcW w:w="2361" w:type="dxa"/>
            <w:tcBorders>
              <w:top w:val="single" w:color="auto" w:sz="6" w:space="0"/>
              <w:left w:val="single" w:color="auto" w:sz="6" w:space="0"/>
              <w:bottom w:val="single" w:color="auto" w:sz="6" w:space="0"/>
              <w:right w:val="single" w:color="auto" w:sz="4" w:space="0"/>
            </w:tcBorders>
            <w:noWrap/>
            <w:vAlign w:val="center"/>
          </w:tcPr>
          <w:p w14:paraId="21DD841A">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4人</w:t>
            </w:r>
          </w:p>
        </w:tc>
      </w:tr>
      <w:tr w14:paraId="5653163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2123" w:type="dxa"/>
            <w:tcBorders>
              <w:top w:val="single" w:color="auto" w:sz="6" w:space="0"/>
              <w:left w:val="single" w:color="auto" w:sz="4" w:space="0"/>
              <w:bottom w:val="single" w:color="auto" w:sz="12" w:space="0"/>
              <w:right w:val="single" w:color="auto" w:sz="4" w:space="0"/>
            </w:tcBorders>
            <w:vAlign w:val="center"/>
          </w:tcPr>
          <w:p w14:paraId="4D360733">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网络营销与直播电商</w:t>
            </w:r>
          </w:p>
        </w:tc>
        <w:tc>
          <w:tcPr>
            <w:tcW w:w="1394" w:type="dxa"/>
            <w:tcBorders>
              <w:top w:val="single" w:color="auto" w:sz="6" w:space="0"/>
              <w:left w:val="single" w:color="auto" w:sz="6" w:space="0"/>
              <w:bottom w:val="single" w:color="auto" w:sz="12" w:space="0"/>
              <w:right w:val="single" w:color="auto" w:sz="6" w:space="0"/>
            </w:tcBorders>
            <w:noWrap/>
            <w:vAlign w:val="center"/>
          </w:tcPr>
          <w:p w14:paraId="4738D047">
            <w:pPr>
              <w:autoSpaceDE w:val="0"/>
              <w:spacing w:line="4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95</w:t>
            </w:r>
          </w:p>
        </w:tc>
        <w:tc>
          <w:tcPr>
            <w:tcW w:w="945" w:type="dxa"/>
            <w:tcBorders>
              <w:top w:val="single" w:color="auto" w:sz="6" w:space="0"/>
              <w:left w:val="single" w:color="auto" w:sz="6" w:space="0"/>
              <w:bottom w:val="single" w:color="auto" w:sz="12" w:space="0"/>
              <w:right w:val="single" w:color="auto" w:sz="6" w:space="0"/>
            </w:tcBorders>
            <w:noWrap/>
            <w:vAlign w:val="center"/>
          </w:tcPr>
          <w:p w14:paraId="7BD44479">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专科</w:t>
            </w:r>
          </w:p>
        </w:tc>
        <w:tc>
          <w:tcPr>
            <w:tcW w:w="1250" w:type="dxa"/>
            <w:tcBorders>
              <w:top w:val="single" w:color="auto" w:sz="6" w:space="0"/>
              <w:left w:val="single" w:color="auto" w:sz="6" w:space="0"/>
              <w:bottom w:val="single" w:color="auto" w:sz="12" w:space="0"/>
              <w:right w:val="single" w:color="auto" w:sz="6" w:space="0"/>
            </w:tcBorders>
            <w:noWrap/>
            <w:vAlign w:val="center"/>
          </w:tcPr>
          <w:p w14:paraId="7A00DA4A">
            <w:pPr>
              <w:autoSpaceDE w:val="0"/>
              <w:spacing w:line="400" w:lineRule="exact"/>
              <w:jc w:val="center"/>
              <w:rPr>
                <w:rFonts w:hint="eastAsia" w:ascii="仿宋_GB2312" w:eastAsia="仿宋_GB2312"/>
                <w:sz w:val="32"/>
                <w:szCs w:val="32"/>
              </w:rPr>
            </w:pPr>
            <w:r>
              <w:rPr>
                <w:rFonts w:hint="eastAsia" w:ascii="仿宋_GB2312" w:eastAsia="仿宋_GB2312"/>
                <w:sz w:val="32"/>
                <w:szCs w:val="32"/>
              </w:rPr>
              <w:t>3</w:t>
            </w:r>
          </w:p>
        </w:tc>
        <w:tc>
          <w:tcPr>
            <w:tcW w:w="2361" w:type="dxa"/>
            <w:tcBorders>
              <w:top w:val="single" w:color="auto" w:sz="6" w:space="0"/>
              <w:left w:val="single" w:color="auto" w:sz="6" w:space="0"/>
              <w:bottom w:val="single" w:color="auto" w:sz="12" w:space="0"/>
              <w:right w:val="single" w:color="auto" w:sz="4" w:space="0"/>
            </w:tcBorders>
            <w:noWrap/>
            <w:vAlign w:val="center"/>
          </w:tcPr>
          <w:p w14:paraId="125025D4">
            <w:pPr>
              <w:autoSpaceDE w:val="0"/>
              <w:spacing w:line="400" w:lineRule="exact"/>
              <w:jc w:val="center"/>
              <w:rPr>
                <w:rFonts w:hint="eastAsia"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人</w:t>
            </w:r>
          </w:p>
        </w:tc>
      </w:tr>
    </w:tbl>
    <w:p w14:paraId="163223AD">
      <w:pPr>
        <w:rPr>
          <w:rFonts w:hint="eastAsia"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第三条 资格条件</w:t>
      </w:r>
    </w:p>
    <w:p w14:paraId="2193212A">
      <w:pPr>
        <w:ind w:firstLine="640" w:firstLineChars="200"/>
        <w:rPr>
          <w:rFonts w:ascii="仿宋_GB2312" w:eastAsia="仿宋_GB2312"/>
          <w:sz w:val="32"/>
          <w:szCs w:val="32"/>
        </w:rPr>
      </w:pPr>
      <w:r>
        <w:rPr>
          <w:rFonts w:hint="eastAsia" w:ascii="仿宋_GB2312" w:eastAsia="仿宋_GB2312"/>
          <w:sz w:val="32"/>
          <w:szCs w:val="32"/>
        </w:rPr>
        <w:t>申请转专业的学生应符合以下条件：</w:t>
      </w:r>
    </w:p>
    <w:p w14:paraId="2CD96559">
      <w:pPr>
        <w:ind w:firstLine="640" w:firstLineChars="200"/>
        <w:rPr>
          <w:rFonts w:hint="eastAsia" w:ascii="仿宋_GB2312" w:eastAsia="仿宋_GB2312"/>
          <w:sz w:val="32"/>
          <w:szCs w:val="32"/>
        </w:rPr>
      </w:pPr>
      <w:r>
        <w:rPr>
          <w:rFonts w:hint="eastAsia" w:ascii="仿宋_GB2312" w:eastAsia="仿宋_GB2312"/>
          <w:sz w:val="32"/>
          <w:szCs w:val="32"/>
        </w:rPr>
        <w:t>申请转专业的学生须符合《山东财经大学东方学院普通本专科学生转专业管理办法（试行）》（鲁财大东方教字〔2023〕30号）第二章规定的资格条件。</w:t>
      </w:r>
    </w:p>
    <w:p w14:paraId="53DADA19">
      <w:pPr>
        <w:ind w:firstLine="640" w:firstLineChars="200"/>
        <w:rPr>
          <w:rFonts w:hint="default" w:ascii="仿宋_GB2312" w:eastAsia="仿宋_GB2312"/>
          <w:b w:val="0"/>
          <w:bCs w:val="0"/>
          <w:sz w:val="32"/>
          <w:szCs w:val="32"/>
          <w:highlight w:val="none"/>
          <w:lang w:val="en-US" w:eastAsia="zh-CN"/>
        </w:rPr>
      </w:pPr>
      <w:r>
        <w:rPr>
          <w:rFonts w:hint="eastAsia" w:ascii="仿宋_GB2312" w:eastAsia="仿宋_GB2312"/>
          <w:b w:val="0"/>
          <w:bCs w:val="0"/>
          <w:sz w:val="32"/>
          <w:szCs w:val="32"/>
          <w:highlight w:val="none"/>
        </w:rPr>
        <w:t>对于申</w:t>
      </w:r>
      <w:r>
        <w:rPr>
          <w:rFonts w:hint="eastAsia" w:ascii="仿宋_GB2312" w:eastAsia="仿宋_GB2312"/>
          <w:b w:val="0"/>
          <w:bCs w:val="0"/>
          <w:sz w:val="32"/>
          <w:szCs w:val="32"/>
          <w:highlight w:val="none"/>
          <w:lang w:val="en-US" w:eastAsia="zh-CN"/>
        </w:rPr>
        <w:t>请转入</w:t>
      </w:r>
      <w:r>
        <w:rPr>
          <w:rFonts w:hint="eastAsia" w:ascii="仿宋_GB2312" w:eastAsia="仿宋_GB2312"/>
          <w:b w:val="0"/>
          <w:bCs w:val="0"/>
          <w:sz w:val="32"/>
          <w:szCs w:val="32"/>
          <w:highlight w:val="none"/>
        </w:rPr>
        <w:t>“市场营销”</w:t>
      </w:r>
      <w:r>
        <w:rPr>
          <w:rFonts w:hint="eastAsia" w:ascii="仿宋_GB2312" w:eastAsia="仿宋_GB2312"/>
          <w:b w:val="0"/>
          <w:bCs w:val="0"/>
          <w:sz w:val="32"/>
          <w:szCs w:val="32"/>
          <w:highlight w:val="none"/>
          <w:lang w:val="en-US" w:eastAsia="zh-CN"/>
        </w:rPr>
        <w:t>和</w:t>
      </w:r>
      <w:r>
        <w:rPr>
          <w:rFonts w:hint="eastAsia" w:ascii="仿宋_GB2312" w:eastAsia="仿宋_GB2312"/>
          <w:b w:val="0"/>
          <w:bCs w:val="0"/>
          <w:sz w:val="32"/>
          <w:szCs w:val="32"/>
          <w:highlight w:val="none"/>
        </w:rPr>
        <w:t>“网络营销与直播电商”专业的同学，</w:t>
      </w:r>
      <w:r>
        <w:rPr>
          <w:rFonts w:hint="eastAsia" w:ascii="仿宋_GB2312" w:eastAsia="仿宋_GB2312"/>
          <w:b w:val="0"/>
          <w:bCs w:val="0"/>
          <w:sz w:val="32"/>
          <w:szCs w:val="32"/>
          <w:highlight w:val="none"/>
          <w:lang w:val="en-US" w:eastAsia="zh-CN"/>
        </w:rPr>
        <w:t>需同时满足以下专业素养条件：喜欢与人沟通，具备良好的口头与书面表达基础；乐于团队协作，能积极融入集体完成任务；对申请专业领域有基本了解，并展现出对本领域的兴趣与潜质。</w:t>
      </w:r>
    </w:p>
    <w:p w14:paraId="5B5C31BF">
      <w:pPr>
        <w:ind w:firstLine="640" w:firstLineChars="200"/>
        <w:rPr>
          <w:rFonts w:hint="eastAsia" w:ascii="黑体" w:hAnsi="黑体" w:eastAsia="黑体"/>
          <w:sz w:val="32"/>
          <w:szCs w:val="32"/>
        </w:rPr>
      </w:pPr>
      <w:r>
        <w:rPr>
          <w:rFonts w:hint="eastAsia" w:ascii="黑体" w:hAnsi="黑体" w:eastAsia="黑体"/>
          <w:sz w:val="32"/>
          <w:szCs w:val="32"/>
        </w:rPr>
        <w:t>第四条 转专业流程</w:t>
      </w:r>
    </w:p>
    <w:p w14:paraId="20E82FDA">
      <w:pPr>
        <w:ind w:firstLine="643" w:firstLineChars="200"/>
        <w:rPr>
          <w:rFonts w:ascii="仿宋_GB2312" w:eastAsia="仿宋_GB2312"/>
          <w:b/>
          <w:bCs/>
          <w:sz w:val="32"/>
          <w:szCs w:val="32"/>
        </w:rPr>
      </w:pPr>
      <w:r>
        <w:rPr>
          <w:rFonts w:hint="eastAsia" w:ascii="仿宋_GB2312" w:eastAsia="仿宋_GB2312"/>
          <w:b/>
          <w:bCs/>
          <w:sz w:val="32"/>
          <w:szCs w:val="32"/>
        </w:rPr>
        <w:t>（一）学生报名</w:t>
      </w:r>
    </w:p>
    <w:p w14:paraId="2F3E1F15">
      <w:pPr>
        <w:ind w:firstLine="640" w:firstLineChars="200"/>
        <w:rPr>
          <w:rFonts w:ascii="仿宋_GB2312" w:eastAsia="仿宋_GB2312"/>
          <w:sz w:val="32"/>
          <w:szCs w:val="32"/>
        </w:rPr>
      </w:pPr>
      <w:r>
        <w:rPr>
          <w:rFonts w:hint="eastAsia" w:ascii="仿宋_GB2312" w:eastAsia="仿宋_GB2312"/>
          <w:sz w:val="32"/>
          <w:szCs w:val="32"/>
        </w:rPr>
        <w:t>符合转专业资格条件的学生于202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17</w:t>
      </w:r>
      <w:r>
        <w:rPr>
          <w:rFonts w:hint="eastAsia" w:ascii="仿宋_GB2312" w:eastAsia="仿宋_GB2312"/>
          <w:sz w:val="32"/>
          <w:szCs w:val="32"/>
        </w:rPr>
        <w:t>日至4月</w:t>
      </w:r>
      <w:r>
        <w:rPr>
          <w:rFonts w:hint="eastAsia" w:ascii="仿宋_GB2312" w:eastAsia="仿宋_GB2312"/>
          <w:sz w:val="32"/>
          <w:szCs w:val="32"/>
          <w:lang w:val="en-US" w:eastAsia="zh-CN"/>
        </w:rPr>
        <w:t>24</w:t>
      </w:r>
      <w:r>
        <w:rPr>
          <w:rFonts w:hint="eastAsia" w:ascii="仿宋_GB2312" w:eastAsia="仿宋_GB2312"/>
          <w:sz w:val="32"/>
          <w:szCs w:val="32"/>
        </w:rPr>
        <w:t>日登录学校教务管理系统进行网上报名，填报志愿，并系统提交相关电子材料及纸质材料交学生所在学院审批。具体材料包括：“山东财经大学东方学院转专业申请表”“第一学期所有课程期末考试成绩单”（教务科研处盖章有效）。</w:t>
      </w:r>
    </w:p>
    <w:p w14:paraId="5FEA138B">
      <w:pPr>
        <w:ind w:firstLine="640" w:firstLineChars="200"/>
        <w:rPr>
          <w:rFonts w:ascii="仿宋_GB2312" w:eastAsia="仿宋_GB2312"/>
          <w:sz w:val="32"/>
          <w:szCs w:val="32"/>
        </w:rPr>
      </w:pPr>
      <w:r>
        <w:rPr>
          <w:rFonts w:hint="eastAsia" w:ascii="仿宋_GB2312" w:eastAsia="仿宋_GB2312"/>
          <w:sz w:val="32"/>
          <w:szCs w:val="32"/>
        </w:rPr>
        <w:t>所在学院审核完毕后，于</w:t>
      </w:r>
      <w:r>
        <w:rPr>
          <w:rFonts w:hint="eastAsia" w:ascii="仿宋_GB2312" w:eastAsia="仿宋_GB2312"/>
          <w:sz w:val="32"/>
          <w:szCs w:val="32"/>
          <w:lang w:eastAsia="zh-CN"/>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5月8</w:t>
      </w:r>
      <w:r>
        <w:rPr>
          <w:rFonts w:hint="eastAsia" w:ascii="仿宋_GB2312" w:eastAsia="仿宋_GB2312"/>
          <w:sz w:val="32"/>
          <w:szCs w:val="32"/>
        </w:rPr>
        <w:t>日</w:t>
      </w:r>
      <w:r>
        <w:rPr>
          <w:rFonts w:hint="eastAsia" w:ascii="仿宋_GB2312" w:eastAsia="仿宋_GB2312"/>
          <w:sz w:val="32"/>
          <w:szCs w:val="32"/>
          <w:lang w:val="en-US" w:eastAsia="zh-CN"/>
        </w:rPr>
        <w:t>前</w:t>
      </w:r>
      <w:r>
        <w:rPr>
          <w:rFonts w:hint="eastAsia" w:ascii="仿宋_GB2312" w:eastAsia="仿宋_GB2312"/>
          <w:sz w:val="32"/>
          <w:szCs w:val="32"/>
        </w:rPr>
        <w:t>对批准转出学生名单进行公示，公示无异议后将名单及材料报教务科研处，并在教务管理系统中对学生申请进行审核。</w:t>
      </w:r>
    </w:p>
    <w:p w14:paraId="2341DD9C">
      <w:pPr>
        <w:ind w:firstLine="640" w:firstLineChars="200"/>
        <w:rPr>
          <w:rFonts w:ascii="仿宋_GB2312" w:eastAsia="仿宋_GB2312"/>
          <w:sz w:val="32"/>
          <w:szCs w:val="32"/>
        </w:rPr>
      </w:pPr>
      <w:r>
        <w:rPr>
          <w:rFonts w:hint="eastAsia" w:ascii="仿宋_GB2312" w:eastAsia="仿宋_GB2312"/>
          <w:sz w:val="32"/>
          <w:szCs w:val="32"/>
        </w:rPr>
        <w:t>学生可通过教务系统查询审批状态，同时及时关注我院网站选拔通知安排，申请转入我院的学生请提前在学院网站了解拟转入专业的人才培养方案。</w:t>
      </w:r>
    </w:p>
    <w:p w14:paraId="7582B049">
      <w:pPr>
        <w:ind w:firstLine="643" w:firstLineChars="200"/>
        <w:rPr>
          <w:rFonts w:ascii="仿宋_GB2312" w:eastAsia="仿宋_GB2312"/>
          <w:b/>
          <w:bCs/>
          <w:sz w:val="32"/>
          <w:szCs w:val="32"/>
        </w:rPr>
      </w:pPr>
      <w:r>
        <w:rPr>
          <w:rFonts w:hint="eastAsia" w:ascii="仿宋_GB2312" w:eastAsia="仿宋_GB2312"/>
          <w:b/>
          <w:bCs/>
          <w:sz w:val="32"/>
          <w:szCs w:val="32"/>
        </w:rPr>
        <w:t>（二）学院选拔</w:t>
      </w:r>
    </w:p>
    <w:p w14:paraId="7140DB60">
      <w:pPr>
        <w:ind w:firstLine="640" w:firstLineChars="200"/>
        <w:rPr>
          <w:rFonts w:ascii="仿宋_GB2312" w:eastAsia="仿宋_GB2312"/>
          <w:sz w:val="32"/>
          <w:szCs w:val="32"/>
        </w:rPr>
      </w:pPr>
      <w:r>
        <w:rPr>
          <w:rFonts w:hint="eastAsia" w:ascii="仿宋_GB2312" w:eastAsia="仿宋_GB2312"/>
          <w:sz w:val="32"/>
          <w:szCs w:val="32"/>
        </w:rPr>
        <w:t>学院选拔时间为</w:t>
      </w:r>
      <w:r>
        <w:rPr>
          <w:rFonts w:hint="eastAsia" w:ascii="仿宋_GB2312" w:eastAsia="仿宋_GB2312"/>
          <w:sz w:val="32"/>
          <w:szCs w:val="32"/>
          <w:lang w:eastAsia="zh-CN"/>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月1</w:t>
      </w:r>
      <w:r>
        <w:rPr>
          <w:rFonts w:hint="eastAsia" w:ascii="仿宋_GB2312" w:eastAsia="仿宋_GB2312"/>
          <w:sz w:val="32"/>
          <w:szCs w:val="32"/>
          <w:lang w:val="en-US" w:eastAsia="zh-CN"/>
        </w:rPr>
        <w:t>3</w:t>
      </w:r>
      <w:r>
        <w:rPr>
          <w:rFonts w:hint="eastAsia" w:ascii="仿宋_GB2312" w:eastAsia="仿宋_GB2312"/>
          <w:sz w:val="32"/>
          <w:szCs w:val="32"/>
        </w:rPr>
        <w:t>日至</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17</w:t>
      </w:r>
      <w:r>
        <w:rPr>
          <w:rFonts w:hint="eastAsia" w:ascii="仿宋_GB2312" w:eastAsia="仿宋_GB2312"/>
          <w:sz w:val="32"/>
          <w:szCs w:val="32"/>
        </w:rPr>
        <w:t>日，面试时间、地点及要求将另行通知，请随时关注学院官网（https://www.sdor.cn/u5de5/）。学院转专业工作组负责组织选拔工作，根据学生转专业报名基本情况、第一学期所有课程期末考试成绩及面试情况，确定拟录取名单。</w:t>
      </w:r>
    </w:p>
    <w:p w14:paraId="32C5C7A6">
      <w:pPr>
        <w:ind w:firstLine="640" w:firstLineChars="200"/>
        <w:rPr>
          <w:rFonts w:ascii="仿宋_GB2312" w:eastAsia="仿宋_GB2312"/>
          <w:sz w:val="32"/>
          <w:szCs w:val="32"/>
        </w:rPr>
      </w:pPr>
      <w:r>
        <w:rPr>
          <w:rFonts w:hint="eastAsia" w:ascii="仿宋_GB2312" w:eastAsia="仿宋_GB2312"/>
          <w:sz w:val="32"/>
          <w:szCs w:val="32"/>
        </w:rPr>
        <w:t>1. 按照“志愿优先，成绩排序”原则进行选拔。若</w:t>
      </w:r>
      <w:r>
        <w:rPr>
          <w:rFonts w:hint="eastAsia" w:ascii="仿宋_GB2312" w:eastAsia="仿宋_GB2312"/>
          <w:sz w:val="32"/>
          <w:szCs w:val="32"/>
          <w:lang w:val="en-US" w:eastAsia="zh-CN"/>
        </w:rPr>
        <w:t>拟</w:t>
      </w:r>
      <w:r>
        <w:rPr>
          <w:rFonts w:hint="eastAsia" w:ascii="仿宋_GB2312" w:eastAsia="仿宋_GB2312"/>
          <w:sz w:val="32"/>
          <w:szCs w:val="32"/>
        </w:rPr>
        <w:t>录取的学生自愿放弃转专业的，则按转专业</w:t>
      </w:r>
      <w:r>
        <w:rPr>
          <w:rFonts w:hint="eastAsia" w:ascii="仿宋_GB2312" w:eastAsia="仿宋_GB2312"/>
          <w:sz w:val="32"/>
          <w:szCs w:val="32"/>
          <w:lang w:val="en-US" w:eastAsia="zh-CN"/>
        </w:rPr>
        <w:t>综合</w:t>
      </w:r>
      <w:r>
        <w:rPr>
          <w:rFonts w:hint="eastAsia" w:ascii="仿宋_GB2312" w:eastAsia="仿宋_GB2312"/>
          <w:sz w:val="32"/>
          <w:szCs w:val="32"/>
        </w:rPr>
        <w:t>成绩排序由高到低依次递补，录满名额为止。在转专业</w:t>
      </w:r>
      <w:r>
        <w:rPr>
          <w:rFonts w:hint="eastAsia" w:ascii="仿宋_GB2312" w:eastAsia="仿宋_GB2312"/>
          <w:sz w:val="32"/>
          <w:szCs w:val="32"/>
          <w:lang w:val="en-US" w:eastAsia="zh-CN"/>
        </w:rPr>
        <w:t>中和</w:t>
      </w:r>
      <w:r>
        <w:rPr>
          <w:rFonts w:hint="eastAsia" w:ascii="仿宋_GB2312" w:eastAsia="仿宋_GB2312"/>
          <w:sz w:val="32"/>
          <w:szCs w:val="32"/>
        </w:rPr>
        <w:t>成绩相同的情况下， 以微积分（本科）、或经济数学基础（专科）课程成绩高低排序。</w:t>
      </w:r>
    </w:p>
    <w:p w14:paraId="0569426B">
      <w:pPr>
        <w:ind w:firstLine="640" w:firstLineChars="200"/>
        <w:rPr>
          <w:rFonts w:ascii="仿宋_GB2312" w:eastAsia="仿宋_GB2312"/>
          <w:sz w:val="32"/>
          <w:szCs w:val="32"/>
        </w:rPr>
      </w:pPr>
      <w:r>
        <w:rPr>
          <w:rFonts w:hint="eastAsia" w:ascii="仿宋_GB2312" w:eastAsia="仿宋_GB2312"/>
          <w:sz w:val="32"/>
          <w:szCs w:val="32"/>
        </w:rPr>
        <w:t>2. 学院转专业工作组负责对申请转专业的学生资格进行审查，并对符合申请资格的学生进行面试选拔，面试总成绩100分，包括思想品质、学业规划、专业认识、专业潜力、语言沟通、综合素质等方面。</w:t>
      </w:r>
    </w:p>
    <w:p w14:paraId="25B7363E">
      <w:pPr>
        <w:ind w:firstLine="640" w:firstLineChars="200"/>
        <w:rPr>
          <w:rFonts w:ascii="仿宋_GB2312" w:eastAsia="仿宋_GB2312"/>
          <w:sz w:val="32"/>
          <w:szCs w:val="32"/>
        </w:rPr>
      </w:pPr>
      <w:r>
        <w:rPr>
          <w:rFonts w:hint="eastAsia" w:ascii="仿宋_GB2312" w:eastAsia="仿宋_GB2312"/>
          <w:sz w:val="32"/>
          <w:szCs w:val="32"/>
        </w:rPr>
        <w:t>3. 转专业</w:t>
      </w:r>
      <w:r>
        <w:rPr>
          <w:rFonts w:hint="eastAsia" w:ascii="仿宋_GB2312" w:eastAsia="仿宋_GB2312"/>
          <w:sz w:val="32"/>
          <w:szCs w:val="32"/>
          <w:lang w:val="en-US" w:eastAsia="zh-CN"/>
        </w:rPr>
        <w:t>综合</w:t>
      </w:r>
      <w:r>
        <w:rPr>
          <w:rFonts w:hint="eastAsia" w:ascii="仿宋_GB2312" w:eastAsia="仿宋_GB2312"/>
          <w:sz w:val="32"/>
          <w:szCs w:val="32"/>
        </w:rPr>
        <w:t>成绩由第一学期所有课程期末考试平均成绩和面试成绩组成。其中，第一学期所有课程平均成绩占50%、面试成绩占50%。</w:t>
      </w:r>
    </w:p>
    <w:p w14:paraId="383276F6">
      <w:pPr>
        <w:ind w:firstLine="640" w:firstLineChars="200"/>
        <w:rPr>
          <w:rFonts w:ascii="仿宋_GB2312" w:eastAsia="仿宋_GB2312"/>
          <w:sz w:val="32"/>
          <w:szCs w:val="32"/>
        </w:rPr>
      </w:pPr>
      <w:r>
        <w:rPr>
          <w:rFonts w:hint="eastAsia" w:ascii="仿宋_GB2312" w:eastAsia="仿宋_GB2312"/>
          <w:sz w:val="32"/>
          <w:szCs w:val="32"/>
        </w:rPr>
        <w:t>（三）确定录取名单</w:t>
      </w:r>
    </w:p>
    <w:p w14:paraId="6667530B">
      <w:pPr>
        <w:ind w:firstLine="640" w:firstLineChars="200"/>
        <w:rPr>
          <w:rFonts w:ascii="仿宋_GB2312" w:eastAsia="仿宋_GB2312"/>
          <w:sz w:val="32"/>
          <w:szCs w:val="32"/>
        </w:rPr>
      </w:pPr>
      <w:r>
        <w:rPr>
          <w:rFonts w:hint="eastAsia" w:ascii="仿宋_GB2312" w:eastAsia="仿宋_GB2312"/>
          <w:sz w:val="32"/>
          <w:szCs w:val="32"/>
        </w:rPr>
        <w:t>学院确定</w:t>
      </w:r>
      <w:r>
        <w:rPr>
          <w:rFonts w:hint="eastAsia" w:ascii="仿宋_GB2312" w:eastAsia="仿宋_GB2312"/>
          <w:sz w:val="32"/>
          <w:szCs w:val="32"/>
          <w:lang w:val="en-US" w:eastAsia="zh-CN"/>
        </w:rPr>
        <w:t>综合成绩</w:t>
      </w:r>
      <w:r>
        <w:rPr>
          <w:rFonts w:hint="eastAsia" w:ascii="仿宋_GB2312" w:eastAsia="仿宋_GB2312"/>
          <w:sz w:val="32"/>
          <w:szCs w:val="32"/>
        </w:rPr>
        <w:t>和各专业拟</w:t>
      </w:r>
      <w:r>
        <w:rPr>
          <w:rFonts w:hint="eastAsia" w:ascii="仿宋_GB2312" w:eastAsia="仿宋_GB2312"/>
          <w:sz w:val="32"/>
          <w:szCs w:val="32"/>
          <w:lang w:val="en-US" w:eastAsia="zh-CN"/>
        </w:rPr>
        <w:t>录取</w:t>
      </w:r>
      <w:r>
        <w:rPr>
          <w:rFonts w:hint="eastAsia" w:ascii="仿宋_GB2312" w:eastAsia="仿宋_GB2312"/>
          <w:sz w:val="32"/>
          <w:szCs w:val="32"/>
        </w:rPr>
        <w:t>学生名单后，于</w:t>
      </w:r>
      <w:r>
        <w:rPr>
          <w:rFonts w:hint="eastAsia" w:ascii="仿宋_GB2312" w:eastAsia="仿宋_GB2312"/>
          <w:sz w:val="32"/>
          <w:szCs w:val="32"/>
          <w:lang w:eastAsia="zh-CN"/>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月2</w:t>
      </w:r>
      <w:r>
        <w:rPr>
          <w:rFonts w:hint="eastAsia" w:ascii="仿宋_GB2312" w:eastAsia="仿宋_GB2312"/>
          <w:sz w:val="32"/>
          <w:szCs w:val="32"/>
          <w:lang w:val="en-US" w:eastAsia="zh-CN"/>
        </w:rPr>
        <w:t>4</w:t>
      </w:r>
      <w:r>
        <w:rPr>
          <w:rFonts w:hint="eastAsia" w:ascii="仿宋_GB2312" w:eastAsia="仿宋_GB2312"/>
          <w:sz w:val="32"/>
          <w:szCs w:val="32"/>
        </w:rPr>
        <w:t>日</w:t>
      </w:r>
      <w:r>
        <w:rPr>
          <w:rFonts w:hint="eastAsia" w:ascii="仿宋_GB2312" w:eastAsia="仿宋_GB2312"/>
          <w:sz w:val="32"/>
          <w:szCs w:val="32"/>
          <w:lang w:val="en-US" w:eastAsia="zh-CN"/>
        </w:rPr>
        <w:t>前</w:t>
      </w:r>
      <w:r>
        <w:rPr>
          <w:rFonts w:hint="eastAsia" w:ascii="仿宋_GB2312" w:eastAsia="仿宋_GB2312"/>
          <w:sz w:val="32"/>
          <w:szCs w:val="32"/>
        </w:rPr>
        <w:t>在学院网站（https://www.sdor.cn/u5de5/）进行公示</w:t>
      </w:r>
      <w:r>
        <w:rPr>
          <w:rFonts w:hint="eastAsia" w:ascii="仿宋_GB2312" w:eastAsia="仿宋_GB2312"/>
          <w:sz w:val="32"/>
          <w:szCs w:val="32"/>
          <w:lang w:eastAsia="zh-CN"/>
        </w:rPr>
        <w:t>；</w:t>
      </w:r>
      <w:r>
        <w:rPr>
          <w:rFonts w:hint="eastAsia" w:ascii="仿宋_GB2312" w:eastAsia="仿宋_GB2312"/>
          <w:sz w:val="32"/>
          <w:szCs w:val="32"/>
        </w:rPr>
        <w:t>公示无异议后将</w:t>
      </w:r>
      <w:r>
        <w:rPr>
          <w:rFonts w:hint="eastAsia" w:ascii="仿宋_GB2312" w:eastAsia="仿宋_GB2312"/>
          <w:sz w:val="32"/>
          <w:szCs w:val="32"/>
          <w:lang w:val="en-US" w:eastAsia="zh-CN"/>
        </w:rPr>
        <w:t>学生</w:t>
      </w:r>
      <w:r>
        <w:rPr>
          <w:rFonts w:hint="eastAsia" w:ascii="仿宋_GB2312" w:eastAsia="仿宋_GB2312"/>
          <w:sz w:val="32"/>
          <w:szCs w:val="32"/>
        </w:rPr>
        <w:t>名单及</w:t>
      </w:r>
      <w:r>
        <w:rPr>
          <w:rFonts w:hint="eastAsia" w:ascii="仿宋_GB2312" w:eastAsia="仿宋_GB2312"/>
          <w:sz w:val="32"/>
          <w:szCs w:val="32"/>
          <w:lang w:val="en-US" w:eastAsia="zh-CN"/>
        </w:rPr>
        <w:t>相关</w:t>
      </w:r>
      <w:r>
        <w:rPr>
          <w:rFonts w:hint="eastAsia" w:ascii="仿宋_GB2312" w:eastAsia="仿宋_GB2312"/>
          <w:sz w:val="32"/>
          <w:szCs w:val="32"/>
        </w:rPr>
        <w:t>材料上报教务科研处审核，学校审批</w:t>
      </w:r>
      <w:r>
        <w:rPr>
          <w:rFonts w:hint="eastAsia" w:ascii="仿宋_GB2312" w:eastAsia="仿宋_GB2312"/>
          <w:sz w:val="32"/>
          <w:szCs w:val="32"/>
          <w:lang w:val="en-US" w:eastAsia="zh-CN"/>
        </w:rPr>
        <w:t>通过</w:t>
      </w:r>
      <w:r>
        <w:rPr>
          <w:rFonts w:hint="eastAsia" w:ascii="仿宋_GB2312" w:eastAsia="仿宋_GB2312"/>
          <w:sz w:val="32"/>
          <w:szCs w:val="32"/>
        </w:rPr>
        <w:t>后，</w:t>
      </w:r>
      <w:r>
        <w:rPr>
          <w:rFonts w:hint="eastAsia" w:ascii="仿宋_GB2312" w:eastAsia="仿宋_GB2312"/>
          <w:sz w:val="32"/>
          <w:szCs w:val="32"/>
          <w:lang w:val="en-US" w:eastAsia="zh-CN"/>
        </w:rPr>
        <w:t>学生</w:t>
      </w:r>
      <w:r>
        <w:rPr>
          <w:rFonts w:hint="eastAsia" w:ascii="仿宋_GB2312" w:eastAsia="仿宋_GB2312"/>
          <w:sz w:val="32"/>
          <w:szCs w:val="32"/>
        </w:rPr>
        <w:t>办理转专业学籍异动</w:t>
      </w:r>
      <w:r>
        <w:rPr>
          <w:rFonts w:hint="eastAsia" w:ascii="仿宋_GB2312" w:eastAsia="仿宋_GB2312"/>
          <w:sz w:val="32"/>
          <w:szCs w:val="32"/>
          <w:lang w:val="en-US" w:eastAsia="zh-CN"/>
        </w:rPr>
        <w:t>手续</w:t>
      </w:r>
      <w:r>
        <w:rPr>
          <w:rFonts w:hint="eastAsia" w:ascii="仿宋_GB2312" w:eastAsia="仿宋_GB2312"/>
          <w:sz w:val="32"/>
          <w:szCs w:val="32"/>
        </w:rPr>
        <w:t>，</w:t>
      </w:r>
      <w:r>
        <w:rPr>
          <w:rFonts w:hint="eastAsia" w:ascii="仿宋_GB2312" w:eastAsia="仿宋_GB2312"/>
          <w:sz w:val="32"/>
          <w:szCs w:val="32"/>
          <w:lang w:val="en-US" w:eastAsia="zh-CN"/>
        </w:rPr>
        <w:t>被</w:t>
      </w:r>
      <w:r>
        <w:rPr>
          <w:rFonts w:hint="eastAsia" w:ascii="仿宋_GB2312" w:eastAsia="仿宋_GB2312"/>
          <w:sz w:val="32"/>
          <w:szCs w:val="32"/>
        </w:rPr>
        <w:t>编入相应班</w:t>
      </w:r>
      <w:r>
        <w:rPr>
          <w:rFonts w:hint="eastAsia" w:ascii="仿宋_GB2312" w:eastAsia="仿宋_GB2312"/>
          <w:color w:val="000000" w:themeColor="text1"/>
          <w:sz w:val="32"/>
          <w:szCs w:val="32"/>
          <w14:textFill>
            <w14:solidFill>
              <w14:schemeClr w14:val="tx1"/>
            </w14:solidFill>
          </w14:textFill>
        </w:rPr>
        <w:t>级，</w:t>
      </w:r>
      <w:r>
        <w:rPr>
          <w:rFonts w:hint="eastAsia" w:ascii="仿宋_GB2312" w:eastAsia="仿宋_GB2312"/>
          <w:color w:val="000000" w:themeColor="text1"/>
          <w:sz w:val="32"/>
          <w:szCs w:val="32"/>
          <w:lang w:val="en-US" w:eastAsia="zh-CN"/>
          <w14:textFill>
            <w14:solidFill>
              <w14:schemeClr w14:val="tx1"/>
            </w14:solidFill>
          </w14:textFill>
        </w:rPr>
        <w:t>并</w:t>
      </w:r>
      <w:r>
        <w:rPr>
          <w:rFonts w:hint="eastAsia" w:ascii="仿宋_GB2312" w:eastAsia="仿宋_GB2312"/>
          <w:color w:val="000000" w:themeColor="text1"/>
          <w:sz w:val="32"/>
          <w:szCs w:val="32"/>
          <w14:textFill>
            <w14:solidFill>
              <w14:schemeClr w14:val="tx1"/>
            </w14:solidFill>
          </w14:textFill>
        </w:rPr>
        <w:t>于下学期</w:t>
      </w:r>
      <w:r>
        <w:rPr>
          <w:rFonts w:hint="eastAsia" w:ascii="仿宋_GB2312" w:eastAsia="仿宋_GB2312"/>
          <w:color w:val="000000" w:themeColor="text1"/>
          <w:sz w:val="32"/>
          <w:szCs w:val="32"/>
          <w:lang w:val="en-US" w:eastAsia="zh-CN"/>
          <w14:textFill>
            <w14:solidFill>
              <w14:schemeClr w14:val="tx1"/>
            </w14:solidFill>
          </w14:textFill>
        </w:rPr>
        <w:t>期</w:t>
      </w:r>
      <w:r>
        <w:rPr>
          <w:rFonts w:hint="eastAsia" w:ascii="仿宋_GB2312" w:eastAsia="仿宋_GB2312"/>
          <w:color w:val="000000" w:themeColor="text1"/>
          <w:sz w:val="32"/>
          <w:szCs w:val="32"/>
          <w14:textFill>
            <w14:solidFill>
              <w14:schemeClr w14:val="tx1"/>
            </w14:solidFill>
          </w14:textFill>
        </w:rPr>
        <w:t>初到新专业就读。</w:t>
      </w:r>
    </w:p>
    <w:p w14:paraId="7230F09F">
      <w:pPr>
        <w:ind w:firstLine="640" w:firstLineChars="200"/>
        <w:rPr>
          <w:rFonts w:hint="eastAsia" w:ascii="黑体" w:hAnsi="黑体" w:eastAsia="黑体"/>
          <w:sz w:val="32"/>
          <w:szCs w:val="32"/>
        </w:rPr>
      </w:pPr>
      <w:r>
        <w:rPr>
          <w:rFonts w:hint="eastAsia" w:ascii="黑体" w:hAnsi="黑体" w:eastAsia="黑体"/>
          <w:sz w:val="32"/>
          <w:szCs w:val="32"/>
        </w:rPr>
        <w:t>第五条 附则</w:t>
      </w:r>
    </w:p>
    <w:p w14:paraId="28A371E3">
      <w:pPr>
        <w:ind w:firstLine="640" w:firstLineChars="200"/>
        <w:rPr>
          <w:rFonts w:ascii="仿宋_GB2312" w:eastAsia="仿宋_GB2312"/>
          <w:sz w:val="32"/>
          <w:szCs w:val="32"/>
        </w:rPr>
      </w:pPr>
      <w:r>
        <w:rPr>
          <w:rFonts w:hint="eastAsia" w:ascii="仿宋_GB2312" w:eastAsia="仿宋_GB2312"/>
          <w:sz w:val="32"/>
          <w:szCs w:val="32"/>
        </w:rPr>
        <w:t>本方案由工商管理学院转专业工作组办公室负责解释。未尽事宜，遵照《山东财经大学东方学院普通本专科学生转专业管理办法（试行）》（鲁财大东方教字〔2023〕30号）及相关文件办理。</w:t>
      </w:r>
    </w:p>
    <w:p w14:paraId="30973196">
      <w:pPr>
        <w:ind w:firstLine="640" w:firstLineChars="200"/>
        <w:rPr>
          <w:rFonts w:ascii="仿宋_GB2312" w:eastAsia="仿宋_GB2312"/>
          <w:sz w:val="32"/>
          <w:szCs w:val="32"/>
        </w:rPr>
      </w:pPr>
      <w:r>
        <w:rPr>
          <w:rFonts w:hint="eastAsia" w:ascii="仿宋_GB2312" w:eastAsia="仿宋_GB2312"/>
          <w:sz w:val="32"/>
          <w:szCs w:val="32"/>
        </w:rPr>
        <w:t>联系方式：0538-5397856</w:t>
      </w:r>
    </w:p>
    <w:p w14:paraId="3099C46D">
      <w:pPr>
        <w:ind w:firstLine="640" w:firstLineChars="200"/>
        <w:rPr>
          <w:rFonts w:ascii="仿宋_GB2312" w:eastAsia="仿宋_GB2312"/>
          <w:sz w:val="32"/>
          <w:szCs w:val="32"/>
        </w:rPr>
      </w:pPr>
      <w:r>
        <w:rPr>
          <w:rFonts w:hint="eastAsia" w:ascii="仿宋_GB2312" w:eastAsia="仿宋_GB2312"/>
          <w:sz w:val="32"/>
          <w:szCs w:val="32"/>
        </w:rPr>
        <w:t xml:space="preserve">联系人：毕老师                                                                                                </w:t>
      </w:r>
    </w:p>
    <w:p w14:paraId="2B23A7FB">
      <w:pPr>
        <w:ind w:firstLine="640" w:firstLineChars="200"/>
        <w:jc w:val="center"/>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工商管理学院</w:t>
      </w:r>
    </w:p>
    <w:p w14:paraId="262AE29D">
      <w:pPr>
        <w:ind w:firstLine="640" w:firstLineChars="200"/>
        <w:jc w:val="right"/>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bookmarkStart w:id="0" w:name="_GoBack"/>
      <w:bookmarkEnd w:id="0"/>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月1</w:t>
      </w:r>
      <w:r>
        <w:rPr>
          <w:rFonts w:hint="eastAsia" w:ascii="仿宋_GB2312" w:eastAsia="仿宋_GB2312"/>
          <w:sz w:val="32"/>
          <w:szCs w:val="32"/>
          <w:lang w:val="en-US" w:eastAsia="zh-CN"/>
        </w:rPr>
        <w:t>3</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ECF8FF-A105-4EB9-8790-29F66084852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D15B236-0E23-465F-B2E4-4264B1F29FB4}"/>
  </w:font>
  <w:font w:name="方正小标宋简体">
    <w:panose1 w:val="03000509000000000000"/>
    <w:charset w:val="86"/>
    <w:family w:val="auto"/>
    <w:pitch w:val="default"/>
    <w:sig w:usb0="00000001" w:usb1="080E0000" w:usb2="00000000" w:usb3="00000000" w:csb0="00040000" w:csb1="00000000"/>
    <w:embedRegular r:id="rId3" w:fontKey="{D7513A5C-0BE0-4738-837B-942295E65457}"/>
  </w:font>
  <w:font w:name="仿宋_GB2312">
    <w:panose1 w:val="02010609030101010101"/>
    <w:charset w:val="86"/>
    <w:family w:val="modern"/>
    <w:pitch w:val="default"/>
    <w:sig w:usb0="00000001" w:usb1="080E0000" w:usb2="00000000" w:usb3="00000000" w:csb0="00040000" w:csb1="00000000"/>
    <w:embedRegular r:id="rId4" w:fontKey="{D34A9E97-CAD4-4587-9E3A-400BB6B37D3D}"/>
  </w:font>
  <w:font w:name="Tahoma">
    <w:panose1 w:val="020B0604030504040204"/>
    <w:charset w:val="00"/>
    <w:family w:val="swiss"/>
    <w:pitch w:val="default"/>
    <w:sig w:usb0="E1002EFF" w:usb1="C000605B" w:usb2="00000029" w:usb3="00000000" w:csb0="200101FF" w:csb1="20280000"/>
    <w:embedRegular r:id="rId5" w:fontKey="{C50780B2-780A-4270-BB02-7C25C616767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lMTNiMzY0ZGQ1ZmUyYzQ5ZGFjNzQ2NjU3ZDc3ODEifQ=="/>
  </w:docVars>
  <w:rsids>
    <w:rsidRoot w:val="00DC1A11"/>
    <w:rsid w:val="000E0633"/>
    <w:rsid w:val="00273808"/>
    <w:rsid w:val="0030168D"/>
    <w:rsid w:val="003854DD"/>
    <w:rsid w:val="00403F1F"/>
    <w:rsid w:val="00676B1E"/>
    <w:rsid w:val="00795C9C"/>
    <w:rsid w:val="008D554B"/>
    <w:rsid w:val="00AD36A9"/>
    <w:rsid w:val="00B62B8B"/>
    <w:rsid w:val="00B84336"/>
    <w:rsid w:val="00C01A54"/>
    <w:rsid w:val="00D4528D"/>
    <w:rsid w:val="00DC0297"/>
    <w:rsid w:val="00DC1A11"/>
    <w:rsid w:val="00E176CA"/>
    <w:rsid w:val="00E5063E"/>
    <w:rsid w:val="00F50FB7"/>
    <w:rsid w:val="00F71C9E"/>
    <w:rsid w:val="06007794"/>
    <w:rsid w:val="075B06A5"/>
    <w:rsid w:val="08EC2D93"/>
    <w:rsid w:val="228D790D"/>
    <w:rsid w:val="2D3703E5"/>
    <w:rsid w:val="3280677D"/>
    <w:rsid w:val="47CB16A4"/>
    <w:rsid w:val="697147D9"/>
    <w:rsid w:val="7EF81507"/>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4</Pages>
  <Words>1319</Words>
  <Characters>1421</Characters>
  <Lines>10</Lines>
  <Paragraphs>2</Paragraphs>
  <TotalTime>30</TotalTime>
  <ScaleCrop>false</ScaleCrop>
  <LinksUpToDate>false</LinksUpToDate>
  <CharactersWithSpaces>1562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2024-03-25T06:33:00Z</dcterms:created>
  <dc:creator>USER-</dc:creator>
  <cp:lastModifiedBy>五月的阳光</cp:lastModifiedBy>
  <dcterms:modified xsi:type="dcterms:W3CDTF">2026-04-14T02:33:52Z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EDAAD1F3DD2F4A54B804B43E5A4E6981_13</vt:lpwstr>
  </property>
  <property fmtid="{D5CDD505-2E9C-101B-9397-08002B2CF9AE}" pid="4" name="KSOTemplateDocerSaveRecord">
    <vt:lpwstr>eyJoZGlkIjoiOWVlMTNiMzY0ZGQ1ZmUyYzQ5ZGFjNzQ2NjU3ZDc3ODEiLCJ1c2VySWQiOiI0MDc2NDIxMzEifQ==</vt:lpwstr>
  </property>
</Properties>
</file>