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0DD7A">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山东财经大学东方学院</w:t>
      </w:r>
    </w:p>
    <w:p w14:paraId="3696B097">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数据科学学院</w:t>
      </w:r>
    </w:p>
    <w:p w14:paraId="1BF26EAA">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全日制本专科学生转专业工作实施方案</w:t>
      </w:r>
    </w:p>
    <w:p w14:paraId="19FA298C">
      <w:pPr>
        <w:spacing w:line="560" w:lineRule="exact"/>
        <w:ind w:firstLine="632" w:firstLineChars="200"/>
        <w:rPr>
          <w:rFonts w:hint="eastAsia" w:hAnsi="仿宋_GB2312" w:cs="仿宋_GB2312"/>
          <w:szCs w:val="32"/>
        </w:rPr>
      </w:pPr>
    </w:p>
    <w:p w14:paraId="44D49FF3">
      <w:pPr>
        <w:spacing w:line="560" w:lineRule="exact"/>
        <w:ind w:firstLine="632" w:firstLineChars="200"/>
        <w:rPr>
          <w:rFonts w:hint="eastAsia" w:hAnsi="仿宋_GB2312" w:cs="仿宋_GB2312"/>
          <w:szCs w:val="32"/>
        </w:rPr>
      </w:pPr>
      <w:r>
        <w:rPr>
          <w:rFonts w:hint="eastAsia" w:hAnsi="仿宋_GB2312" w:cs="仿宋_GB2312"/>
          <w:szCs w:val="32"/>
        </w:rPr>
        <w:t>根据《山东财经大学东方学院普通本专科学生转专业管理办法（试行）》（鲁财大东方教字[2023]30号），为确保202</w:t>
      </w:r>
      <w:r>
        <w:rPr>
          <w:rFonts w:hint="eastAsia" w:hAnsi="仿宋_GB2312" w:cs="仿宋_GB2312"/>
          <w:szCs w:val="32"/>
          <w:lang w:val="en-US" w:eastAsia="zh-CN"/>
        </w:rPr>
        <w:t>5</w:t>
      </w:r>
      <w:r>
        <w:rPr>
          <w:rFonts w:hint="eastAsia" w:hAnsi="仿宋_GB2312" w:cs="仿宋_GB2312"/>
          <w:szCs w:val="32"/>
        </w:rPr>
        <w:t>级本专科学生转专业工作公平、公开、公正、有序进行，结合学院实际，制订学院转专业工作实施细则。</w:t>
      </w:r>
    </w:p>
    <w:p w14:paraId="1B493956">
      <w:pPr>
        <w:spacing w:line="560" w:lineRule="exact"/>
        <w:ind w:firstLine="632" w:firstLineChars="200"/>
        <w:rPr>
          <w:rFonts w:hint="eastAsia" w:hAnsi="仿宋_GB2312" w:cs="仿宋_GB2312"/>
          <w:szCs w:val="32"/>
        </w:rPr>
      </w:pPr>
      <w:r>
        <w:rPr>
          <w:rFonts w:hint="eastAsia" w:hAnsi="仿宋_GB2312" w:cs="仿宋_GB2312"/>
          <w:szCs w:val="32"/>
        </w:rPr>
        <w:t>学院转专业工作在学校宏观调控下，自主实施，遵循公平、公正、公开以及双向自愿选择、择优录取的原则。学院转专业工作以对学生负责、有利学生成长为基本指导思想。</w:t>
      </w:r>
    </w:p>
    <w:p w14:paraId="627CD8E9">
      <w:pPr>
        <w:spacing w:line="560" w:lineRule="exact"/>
        <w:ind w:firstLine="632" w:firstLineChars="200"/>
        <w:rPr>
          <w:rFonts w:hint="eastAsia" w:ascii="黑体" w:hAnsi="黑体" w:eastAsia="黑体"/>
          <w:color w:val="C00000"/>
          <w:szCs w:val="32"/>
        </w:rPr>
      </w:pPr>
      <w:r>
        <w:rPr>
          <w:rFonts w:hint="eastAsia" w:ascii="黑体" w:hAnsi="黑体" w:eastAsia="黑体" w:cs="黑体"/>
          <w:bCs/>
          <w:szCs w:val="32"/>
        </w:rPr>
        <w:t>第一条 领导小组</w:t>
      </w:r>
    </w:p>
    <w:p w14:paraId="7A560A3D">
      <w:pPr>
        <w:spacing w:line="560" w:lineRule="exact"/>
        <w:ind w:firstLine="632" w:firstLineChars="200"/>
        <w:rPr>
          <w:rFonts w:hint="eastAsia" w:hAnsi="仿宋_GB2312" w:cs="仿宋_GB2312"/>
          <w:szCs w:val="32"/>
        </w:rPr>
      </w:pPr>
      <w:r>
        <w:rPr>
          <w:rFonts w:hint="eastAsia" w:hAnsi="仿宋_GB2312" w:cs="仿宋_GB2312"/>
          <w:szCs w:val="32"/>
        </w:rPr>
        <w:t>学院设立转专业工作小组，由院长任组长，副院长任副组长，各专业负责人、教学秘书、相应年级辅导员为主要成员。工作组成员如下：</w:t>
      </w:r>
    </w:p>
    <w:p w14:paraId="2BB8C18E">
      <w:pPr>
        <w:spacing w:line="560" w:lineRule="exact"/>
        <w:ind w:firstLine="632" w:firstLineChars="200"/>
        <w:rPr>
          <w:rFonts w:hint="eastAsia" w:hAnsi="仿宋_GB2312" w:eastAsia="仿宋_GB2312" w:cs="仿宋_GB2312"/>
          <w:szCs w:val="32"/>
          <w:lang w:eastAsia="zh-CN"/>
        </w:rPr>
      </w:pPr>
      <w:r>
        <w:rPr>
          <w:rFonts w:hint="eastAsia" w:hAnsi="仿宋_GB2312" w:cs="仿宋_GB2312"/>
          <w:szCs w:val="32"/>
        </w:rPr>
        <w:t>组长：</w:t>
      </w:r>
      <w:r>
        <w:rPr>
          <w:rFonts w:hint="eastAsia" w:hAnsi="仿宋_GB2312" w:cs="仿宋_GB2312"/>
          <w:szCs w:val="32"/>
          <w:lang w:val="en-US" w:eastAsia="zh-CN"/>
        </w:rPr>
        <w:t>谢蕙</w:t>
      </w:r>
    </w:p>
    <w:p w14:paraId="58B6C42D">
      <w:pPr>
        <w:spacing w:line="560" w:lineRule="exact"/>
        <w:ind w:firstLine="632" w:firstLineChars="200"/>
        <w:rPr>
          <w:rFonts w:hint="eastAsia" w:hAnsi="仿宋_GB2312" w:cs="仿宋_GB2312"/>
          <w:szCs w:val="32"/>
        </w:rPr>
      </w:pPr>
      <w:r>
        <w:rPr>
          <w:rFonts w:hint="eastAsia" w:hAnsi="仿宋_GB2312" w:cs="仿宋_GB2312"/>
          <w:szCs w:val="32"/>
        </w:rPr>
        <w:t>副组长：隋丽红</w:t>
      </w:r>
    </w:p>
    <w:p w14:paraId="45474DEC">
      <w:pPr>
        <w:spacing w:line="560" w:lineRule="exact"/>
        <w:ind w:firstLine="632" w:firstLineChars="200"/>
        <w:rPr>
          <w:rFonts w:hint="eastAsia" w:hAnsi="仿宋_GB2312" w:eastAsia="仿宋_GB2312" w:cs="仿宋_GB2312"/>
          <w:szCs w:val="32"/>
          <w:lang w:val="en-US" w:eastAsia="zh-CN"/>
        </w:rPr>
      </w:pPr>
      <w:r>
        <w:rPr>
          <w:rFonts w:hint="eastAsia" w:hAnsi="仿宋_GB2312" w:cs="仿宋_GB2312"/>
          <w:szCs w:val="32"/>
        </w:rPr>
        <w:t>成员：周恩锋、孙青、谭峤、</w:t>
      </w:r>
      <w:r>
        <w:rPr>
          <w:rFonts w:hint="eastAsia" w:hAnsi="仿宋_GB2312" w:cs="仿宋_GB2312"/>
          <w:szCs w:val="32"/>
          <w:lang w:val="en-US" w:eastAsia="zh-CN"/>
        </w:rPr>
        <w:t>黄珍</w:t>
      </w:r>
    </w:p>
    <w:p w14:paraId="241D2BA7">
      <w:pPr>
        <w:spacing w:line="560" w:lineRule="exact"/>
        <w:ind w:firstLine="632" w:firstLineChars="200"/>
        <w:rPr>
          <w:rFonts w:hint="eastAsia" w:hAnsi="仿宋_GB2312" w:cs="仿宋_GB2312"/>
          <w:szCs w:val="32"/>
        </w:rPr>
      </w:pPr>
      <w:r>
        <w:rPr>
          <w:rFonts w:hint="eastAsia" w:hAnsi="仿宋_GB2312" w:cs="仿宋_GB2312"/>
          <w:szCs w:val="32"/>
        </w:rPr>
        <w:t>秘书：吴晓雪、赵静</w:t>
      </w:r>
    </w:p>
    <w:p w14:paraId="5FC8D48E">
      <w:pPr>
        <w:spacing w:line="560" w:lineRule="exact"/>
        <w:ind w:firstLine="632" w:firstLineChars="200"/>
        <w:rPr>
          <w:rFonts w:hint="eastAsia" w:ascii="黑体" w:hAnsi="黑体" w:eastAsia="黑体"/>
          <w:color w:val="C00000"/>
          <w:szCs w:val="32"/>
        </w:rPr>
      </w:pPr>
      <w:r>
        <w:rPr>
          <w:rFonts w:hint="eastAsia" w:ascii="黑体" w:hAnsi="黑体" w:eastAsia="黑体" w:cs="黑体"/>
          <w:bCs/>
          <w:szCs w:val="32"/>
        </w:rPr>
        <w:t>第二条 接收专业与接收</w:t>
      </w:r>
      <w:r>
        <w:rPr>
          <w:rFonts w:ascii="黑体" w:hAnsi="黑体" w:eastAsia="黑体" w:cs="黑体"/>
          <w:bCs/>
          <w:szCs w:val="32"/>
        </w:rPr>
        <w:t>计划</w:t>
      </w:r>
    </w:p>
    <w:p w14:paraId="5F39F7F6">
      <w:pPr>
        <w:spacing w:line="560" w:lineRule="exact"/>
        <w:ind w:firstLine="632" w:firstLineChars="200"/>
        <w:rPr>
          <w:rFonts w:hint="eastAsia" w:hAnsi="仿宋_GB2312" w:cs="仿宋_GB2312"/>
          <w:szCs w:val="32"/>
        </w:rPr>
      </w:pPr>
      <w:r>
        <w:rPr>
          <w:rFonts w:hint="eastAsia" w:hAnsi="仿宋_GB2312" w:cs="仿宋_GB2312"/>
          <w:szCs w:val="32"/>
        </w:rPr>
        <w:t>根据数据科学学院各专业现有学生人数、师资力量及学校相关规定，学院202</w:t>
      </w:r>
      <w:r>
        <w:rPr>
          <w:rFonts w:hint="eastAsia" w:hAnsi="仿宋_GB2312" w:cs="仿宋_GB2312"/>
          <w:szCs w:val="32"/>
          <w:lang w:val="en-US" w:eastAsia="zh-CN"/>
        </w:rPr>
        <w:t>5</w:t>
      </w:r>
      <w:r>
        <w:rPr>
          <w:rFonts w:hint="eastAsia" w:hAnsi="仿宋_GB2312" w:cs="仿宋_GB2312"/>
          <w:szCs w:val="32"/>
        </w:rPr>
        <w:t>级各专业可以接收的转专业学生人数如下表所示：</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4"/>
        <w:gridCol w:w="1054"/>
        <w:gridCol w:w="3469"/>
        <w:gridCol w:w="2577"/>
      </w:tblGrid>
      <w:tr w14:paraId="5C92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Align w:val="center"/>
          </w:tcPr>
          <w:p w14:paraId="312A945B">
            <w:pPr>
              <w:spacing w:line="560" w:lineRule="exact"/>
              <w:jc w:val="center"/>
              <w:rPr>
                <w:rFonts w:hint="eastAsia" w:hAnsi="仿宋_GB2312" w:cs="仿宋_GB2312"/>
                <w:sz w:val="28"/>
                <w:szCs w:val="32"/>
              </w:rPr>
            </w:pPr>
            <w:r>
              <w:rPr>
                <w:rFonts w:hint="eastAsia" w:hAnsi="仿宋_GB2312" w:cs="仿宋_GB2312"/>
                <w:sz w:val="28"/>
                <w:szCs w:val="32"/>
              </w:rPr>
              <w:t>序号</w:t>
            </w:r>
          </w:p>
        </w:tc>
        <w:tc>
          <w:tcPr>
            <w:tcW w:w="1054" w:type="dxa"/>
            <w:vAlign w:val="center"/>
          </w:tcPr>
          <w:p w14:paraId="26F4B7F9">
            <w:pPr>
              <w:spacing w:line="560" w:lineRule="exact"/>
              <w:jc w:val="center"/>
              <w:rPr>
                <w:rFonts w:hint="eastAsia" w:hAnsi="仿宋_GB2312" w:eastAsia="仿宋_GB2312" w:cs="仿宋_GB2312"/>
                <w:sz w:val="28"/>
                <w:szCs w:val="32"/>
                <w:lang w:val="en-US" w:eastAsia="zh-CN"/>
              </w:rPr>
            </w:pPr>
            <w:r>
              <w:rPr>
                <w:rFonts w:hint="eastAsia" w:hAnsi="仿宋_GB2312" w:cs="仿宋_GB2312"/>
                <w:sz w:val="28"/>
                <w:szCs w:val="32"/>
                <w:lang w:val="en-US" w:eastAsia="zh-CN"/>
              </w:rPr>
              <w:t>层次</w:t>
            </w:r>
          </w:p>
        </w:tc>
        <w:tc>
          <w:tcPr>
            <w:tcW w:w="3469" w:type="dxa"/>
            <w:vAlign w:val="center"/>
          </w:tcPr>
          <w:p w14:paraId="33E0E08D">
            <w:pPr>
              <w:spacing w:line="560" w:lineRule="exact"/>
              <w:jc w:val="center"/>
              <w:rPr>
                <w:rFonts w:hint="eastAsia" w:hAnsi="仿宋_GB2312" w:cs="仿宋_GB2312"/>
                <w:sz w:val="28"/>
                <w:szCs w:val="32"/>
              </w:rPr>
            </w:pPr>
            <w:r>
              <w:rPr>
                <w:rFonts w:hAnsi="仿宋_GB2312" w:cs="仿宋_GB2312"/>
                <w:sz w:val="28"/>
                <w:szCs w:val="32"/>
              </w:rPr>
              <w:t>专业名称</w:t>
            </w:r>
          </w:p>
        </w:tc>
        <w:tc>
          <w:tcPr>
            <w:tcW w:w="2577" w:type="dxa"/>
            <w:vAlign w:val="center"/>
          </w:tcPr>
          <w:p w14:paraId="25DC7345">
            <w:pPr>
              <w:spacing w:line="560" w:lineRule="exact"/>
              <w:jc w:val="center"/>
              <w:rPr>
                <w:rFonts w:hint="eastAsia" w:hAnsi="仿宋_GB2312" w:cs="仿宋_GB2312"/>
                <w:sz w:val="28"/>
                <w:szCs w:val="32"/>
              </w:rPr>
            </w:pPr>
            <w:r>
              <w:rPr>
                <w:rFonts w:hAnsi="仿宋_GB2312" w:cs="仿宋_GB2312"/>
                <w:sz w:val="28"/>
                <w:szCs w:val="32"/>
              </w:rPr>
              <w:t>拟接受学生人数</w:t>
            </w:r>
          </w:p>
        </w:tc>
      </w:tr>
      <w:tr w14:paraId="37B3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Align w:val="center"/>
          </w:tcPr>
          <w:p w14:paraId="5E1FFFFE">
            <w:pPr>
              <w:spacing w:line="560" w:lineRule="exact"/>
              <w:jc w:val="center"/>
              <w:rPr>
                <w:rFonts w:hint="eastAsia" w:hAnsi="仿宋_GB2312" w:cs="仿宋_GB2312"/>
                <w:sz w:val="28"/>
                <w:szCs w:val="32"/>
              </w:rPr>
            </w:pPr>
            <w:r>
              <w:rPr>
                <w:rFonts w:hint="eastAsia" w:hAnsi="仿宋_GB2312" w:cs="仿宋_GB2312"/>
                <w:sz w:val="28"/>
                <w:szCs w:val="32"/>
              </w:rPr>
              <w:t>1</w:t>
            </w:r>
          </w:p>
        </w:tc>
        <w:tc>
          <w:tcPr>
            <w:tcW w:w="1054" w:type="dxa"/>
            <w:vAlign w:val="center"/>
          </w:tcPr>
          <w:p w14:paraId="056F15ED">
            <w:pPr>
              <w:spacing w:line="560" w:lineRule="exact"/>
              <w:jc w:val="center"/>
              <w:rPr>
                <w:rFonts w:hint="eastAsia" w:hAnsi="仿宋_GB2312" w:eastAsia="仿宋_GB2312" w:cs="仿宋_GB2312"/>
                <w:sz w:val="28"/>
                <w:szCs w:val="32"/>
                <w:lang w:val="en-US" w:eastAsia="zh-CN"/>
              </w:rPr>
            </w:pPr>
            <w:r>
              <w:rPr>
                <w:rFonts w:hint="eastAsia" w:hAnsi="仿宋_GB2312" w:cs="仿宋_GB2312"/>
                <w:sz w:val="28"/>
                <w:szCs w:val="32"/>
                <w:lang w:val="en-US" w:eastAsia="zh-CN"/>
              </w:rPr>
              <w:t>本科</w:t>
            </w:r>
          </w:p>
        </w:tc>
        <w:tc>
          <w:tcPr>
            <w:tcW w:w="3469" w:type="dxa"/>
            <w:vAlign w:val="center"/>
          </w:tcPr>
          <w:p w14:paraId="2A25FD61">
            <w:pPr>
              <w:spacing w:line="560" w:lineRule="exact"/>
              <w:jc w:val="center"/>
              <w:rPr>
                <w:rFonts w:hint="default" w:hAnsi="仿宋_GB2312" w:cs="仿宋_GB2312"/>
                <w:sz w:val="28"/>
                <w:szCs w:val="32"/>
                <w:lang w:val="en-US" w:eastAsia="zh-CN"/>
              </w:rPr>
            </w:pPr>
            <w:r>
              <w:rPr>
                <w:rFonts w:hint="eastAsia" w:hAnsi="仿宋_GB2312" w:cs="仿宋_GB2312"/>
                <w:sz w:val="28"/>
                <w:szCs w:val="32"/>
                <w:lang w:val="en-US" w:eastAsia="zh-CN"/>
              </w:rPr>
              <w:t>信息管理与信息系统</w:t>
            </w:r>
          </w:p>
        </w:tc>
        <w:tc>
          <w:tcPr>
            <w:tcW w:w="2577" w:type="dxa"/>
            <w:vAlign w:val="center"/>
          </w:tcPr>
          <w:p w14:paraId="197DAE72">
            <w:pPr>
              <w:spacing w:line="560" w:lineRule="exact"/>
              <w:jc w:val="center"/>
              <w:rPr>
                <w:rFonts w:hint="eastAsia" w:hAnsi="仿宋_GB2312" w:eastAsia="仿宋_GB2312" w:cs="仿宋_GB2312"/>
                <w:sz w:val="28"/>
                <w:szCs w:val="32"/>
                <w:lang w:eastAsia="zh-CN"/>
              </w:rPr>
            </w:pPr>
            <w:r>
              <w:rPr>
                <w:rFonts w:hint="eastAsia" w:hAnsi="仿宋_GB2312" w:cs="仿宋_GB2312"/>
                <w:sz w:val="28"/>
                <w:szCs w:val="32"/>
                <w:lang w:val="en-US" w:eastAsia="zh-CN"/>
              </w:rPr>
              <w:t>4</w:t>
            </w:r>
          </w:p>
        </w:tc>
      </w:tr>
      <w:tr w14:paraId="54C38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Align w:val="center"/>
          </w:tcPr>
          <w:p w14:paraId="47F3A915">
            <w:pPr>
              <w:spacing w:line="560" w:lineRule="exact"/>
              <w:jc w:val="center"/>
              <w:rPr>
                <w:rFonts w:hint="eastAsia" w:hAnsi="仿宋_GB2312" w:cs="仿宋_GB2312"/>
                <w:sz w:val="28"/>
                <w:szCs w:val="32"/>
              </w:rPr>
            </w:pPr>
            <w:r>
              <w:rPr>
                <w:rFonts w:hint="eastAsia" w:hAnsi="仿宋_GB2312" w:cs="仿宋_GB2312"/>
                <w:sz w:val="28"/>
                <w:szCs w:val="32"/>
              </w:rPr>
              <w:t>2</w:t>
            </w:r>
          </w:p>
        </w:tc>
        <w:tc>
          <w:tcPr>
            <w:tcW w:w="1054" w:type="dxa"/>
            <w:vAlign w:val="center"/>
          </w:tcPr>
          <w:p w14:paraId="378FB8D1">
            <w:pPr>
              <w:spacing w:line="560" w:lineRule="exact"/>
              <w:jc w:val="center"/>
              <w:rPr>
                <w:rFonts w:hint="eastAsia" w:hAnsi="仿宋_GB2312" w:eastAsia="仿宋_GB2312" w:cs="仿宋_GB2312"/>
                <w:sz w:val="28"/>
                <w:szCs w:val="32"/>
                <w:lang w:val="en-US" w:eastAsia="zh-CN"/>
              </w:rPr>
            </w:pPr>
            <w:r>
              <w:rPr>
                <w:rFonts w:hint="eastAsia" w:hAnsi="仿宋_GB2312" w:cs="仿宋_GB2312"/>
                <w:sz w:val="28"/>
                <w:szCs w:val="32"/>
                <w:lang w:val="en-US" w:eastAsia="zh-CN"/>
              </w:rPr>
              <w:t>本科</w:t>
            </w:r>
          </w:p>
        </w:tc>
        <w:tc>
          <w:tcPr>
            <w:tcW w:w="3469" w:type="dxa"/>
            <w:vAlign w:val="center"/>
          </w:tcPr>
          <w:p w14:paraId="1D68339A">
            <w:pPr>
              <w:spacing w:line="560" w:lineRule="exact"/>
              <w:jc w:val="center"/>
              <w:rPr>
                <w:rFonts w:hint="eastAsia" w:hAnsi="仿宋_GB2312" w:cs="仿宋_GB2312"/>
                <w:sz w:val="28"/>
                <w:szCs w:val="32"/>
              </w:rPr>
            </w:pPr>
            <w:r>
              <w:rPr>
                <w:rFonts w:hint="eastAsia" w:hAnsi="仿宋_GB2312" w:cs="仿宋_GB2312"/>
                <w:sz w:val="28"/>
                <w:szCs w:val="32"/>
              </w:rPr>
              <w:t>数据科学与大数据技术</w:t>
            </w:r>
          </w:p>
        </w:tc>
        <w:tc>
          <w:tcPr>
            <w:tcW w:w="2577" w:type="dxa"/>
            <w:vAlign w:val="center"/>
          </w:tcPr>
          <w:p w14:paraId="3AEC3522">
            <w:pPr>
              <w:spacing w:line="560" w:lineRule="exact"/>
              <w:jc w:val="center"/>
              <w:rPr>
                <w:rFonts w:hint="eastAsia" w:hAnsi="仿宋_GB2312" w:eastAsia="仿宋_GB2312" w:cs="仿宋_GB2312"/>
                <w:sz w:val="28"/>
                <w:szCs w:val="32"/>
                <w:lang w:eastAsia="zh-CN"/>
              </w:rPr>
            </w:pPr>
            <w:r>
              <w:rPr>
                <w:rFonts w:hint="eastAsia" w:hAnsi="仿宋_GB2312" w:cs="仿宋_GB2312"/>
                <w:sz w:val="28"/>
                <w:szCs w:val="32"/>
                <w:lang w:val="en-US" w:eastAsia="zh-CN"/>
              </w:rPr>
              <w:t>8</w:t>
            </w:r>
          </w:p>
        </w:tc>
      </w:tr>
      <w:tr w14:paraId="080F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4" w:type="dxa"/>
            <w:vAlign w:val="center"/>
          </w:tcPr>
          <w:p w14:paraId="7C72F6F0">
            <w:pPr>
              <w:spacing w:line="560" w:lineRule="exact"/>
              <w:jc w:val="center"/>
              <w:rPr>
                <w:rFonts w:hint="eastAsia" w:hAnsi="仿宋_GB2312" w:cs="仿宋_GB2312"/>
                <w:sz w:val="28"/>
                <w:szCs w:val="32"/>
              </w:rPr>
            </w:pPr>
            <w:r>
              <w:rPr>
                <w:rFonts w:hint="eastAsia" w:hAnsi="仿宋_GB2312" w:cs="仿宋_GB2312"/>
                <w:sz w:val="28"/>
                <w:szCs w:val="32"/>
              </w:rPr>
              <w:t>3</w:t>
            </w:r>
          </w:p>
        </w:tc>
        <w:tc>
          <w:tcPr>
            <w:tcW w:w="1054" w:type="dxa"/>
            <w:vAlign w:val="center"/>
          </w:tcPr>
          <w:p w14:paraId="3B7803DC">
            <w:pPr>
              <w:spacing w:line="560" w:lineRule="exact"/>
              <w:jc w:val="center"/>
              <w:rPr>
                <w:rFonts w:hint="eastAsia" w:hAnsi="仿宋_GB2312" w:eastAsia="仿宋_GB2312" w:cs="仿宋_GB2312"/>
                <w:sz w:val="28"/>
                <w:szCs w:val="32"/>
                <w:lang w:val="en-US" w:eastAsia="zh-CN"/>
              </w:rPr>
            </w:pPr>
            <w:r>
              <w:rPr>
                <w:rFonts w:hint="eastAsia" w:hAnsi="仿宋_GB2312" w:cs="仿宋_GB2312"/>
                <w:sz w:val="28"/>
                <w:szCs w:val="32"/>
                <w:lang w:val="en-US" w:eastAsia="zh-CN"/>
              </w:rPr>
              <w:t>本科</w:t>
            </w:r>
          </w:p>
        </w:tc>
        <w:tc>
          <w:tcPr>
            <w:tcW w:w="3469" w:type="dxa"/>
            <w:vAlign w:val="center"/>
          </w:tcPr>
          <w:p w14:paraId="057F1089">
            <w:pPr>
              <w:spacing w:line="560" w:lineRule="exact"/>
              <w:jc w:val="center"/>
              <w:rPr>
                <w:rFonts w:hint="eastAsia" w:hAnsi="仿宋_GB2312" w:eastAsia="仿宋_GB2312" w:cs="仿宋_GB2312"/>
                <w:sz w:val="28"/>
                <w:szCs w:val="32"/>
                <w:lang w:eastAsia="zh-CN"/>
              </w:rPr>
            </w:pPr>
            <w:r>
              <w:rPr>
                <w:rFonts w:hint="eastAsia" w:hAnsi="仿宋_GB2312" w:cs="仿宋_GB2312"/>
                <w:sz w:val="28"/>
                <w:szCs w:val="32"/>
                <w:lang w:val="en-US" w:eastAsia="zh-CN"/>
              </w:rPr>
              <w:t>物流管理</w:t>
            </w:r>
          </w:p>
        </w:tc>
        <w:tc>
          <w:tcPr>
            <w:tcW w:w="2577" w:type="dxa"/>
            <w:vAlign w:val="center"/>
          </w:tcPr>
          <w:p w14:paraId="3D4A7F07">
            <w:pPr>
              <w:spacing w:line="560" w:lineRule="exact"/>
              <w:jc w:val="center"/>
              <w:rPr>
                <w:rFonts w:hint="eastAsia" w:hAnsi="仿宋_GB2312" w:eastAsia="仿宋_GB2312" w:cs="仿宋_GB2312"/>
                <w:sz w:val="28"/>
                <w:szCs w:val="32"/>
                <w:lang w:eastAsia="zh-CN"/>
              </w:rPr>
            </w:pPr>
            <w:r>
              <w:rPr>
                <w:rFonts w:hint="eastAsia" w:hAnsi="仿宋_GB2312" w:cs="仿宋_GB2312"/>
                <w:sz w:val="28"/>
                <w:szCs w:val="32"/>
                <w:lang w:val="en-US" w:eastAsia="zh-CN"/>
              </w:rPr>
              <w:t>4</w:t>
            </w:r>
          </w:p>
        </w:tc>
      </w:tr>
    </w:tbl>
    <w:p w14:paraId="6CD999B3">
      <w:pPr>
        <w:spacing w:line="560" w:lineRule="exact"/>
        <w:ind w:firstLine="632" w:firstLineChars="200"/>
        <w:rPr>
          <w:rFonts w:hint="eastAsia" w:ascii="黑体" w:hAnsi="黑体" w:eastAsia="黑体"/>
          <w:color w:val="C00000"/>
          <w:szCs w:val="32"/>
        </w:rPr>
      </w:pPr>
      <w:r>
        <w:rPr>
          <w:rFonts w:hint="eastAsia" w:ascii="黑体" w:hAnsi="黑体" w:eastAsia="黑体" w:cs="黑体"/>
          <w:bCs/>
          <w:szCs w:val="32"/>
        </w:rPr>
        <w:t>第三条 资格条件</w:t>
      </w:r>
    </w:p>
    <w:p w14:paraId="477F2687">
      <w:pPr>
        <w:spacing w:line="560" w:lineRule="exact"/>
        <w:ind w:firstLine="632" w:firstLineChars="200"/>
        <w:rPr>
          <w:rFonts w:hint="eastAsia" w:hAnsi="仿宋_GB2312" w:cs="仿宋_GB2312"/>
          <w:szCs w:val="32"/>
        </w:rPr>
      </w:pPr>
      <w:r>
        <w:rPr>
          <w:rFonts w:hint="eastAsia" w:hAnsi="仿宋_GB2312" w:cs="仿宋_GB2312"/>
          <w:szCs w:val="32"/>
        </w:rPr>
        <w:t>申请转专业的学生应符合以下条件：</w:t>
      </w:r>
    </w:p>
    <w:p w14:paraId="570AB42D">
      <w:pPr>
        <w:spacing w:line="560" w:lineRule="exact"/>
        <w:ind w:firstLine="632" w:firstLineChars="200"/>
        <w:rPr>
          <w:rFonts w:hint="eastAsia" w:hAnsi="仿宋_GB2312" w:cs="仿宋_GB2312"/>
          <w:szCs w:val="32"/>
        </w:rPr>
      </w:pPr>
      <w:r>
        <w:rPr>
          <w:rFonts w:hint="eastAsia" w:hAnsi="仿宋_GB2312" w:cs="仿宋_GB2312"/>
          <w:szCs w:val="32"/>
        </w:rPr>
        <w:t>1.申请转专业的学生须符合《山东财经大学东方学院普通本专科学生转专业管理办法（试行）》（鲁财大东方教字〔2023〕30 号）第二章规定的资格条件。</w:t>
      </w:r>
    </w:p>
    <w:p w14:paraId="43FC26C4">
      <w:pPr>
        <w:spacing w:line="560" w:lineRule="exact"/>
        <w:ind w:firstLine="632" w:firstLineChars="200"/>
        <w:rPr>
          <w:rFonts w:hint="eastAsia" w:hAnsi="仿宋_GB2312" w:cs="仿宋_GB2312"/>
          <w:szCs w:val="32"/>
        </w:rPr>
      </w:pPr>
      <w:r>
        <w:rPr>
          <w:rFonts w:hint="eastAsia" w:hAnsi="仿宋_GB2312" w:cs="仿宋_GB2312"/>
          <w:szCs w:val="32"/>
        </w:rPr>
        <w:t>2.</w:t>
      </w:r>
      <w:r>
        <w:rPr>
          <w:rFonts w:hint="eastAsia" w:hAnsi="仿宋_GB2312" w:cs="仿宋_GB2312"/>
          <w:szCs w:val="32"/>
          <w:lang w:val="en-US" w:eastAsia="zh-CN"/>
        </w:rPr>
        <w:t>信息管理与信息系统和</w:t>
      </w:r>
      <w:r>
        <w:rPr>
          <w:rFonts w:hint="eastAsia" w:hAnsi="仿宋_GB2312" w:cs="仿宋_GB2312"/>
          <w:szCs w:val="32"/>
        </w:rPr>
        <w:t>数据科学与大数据技术本科专业只接收高考时选考了物理的转专业学生。</w:t>
      </w:r>
    </w:p>
    <w:p w14:paraId="0F1B4186">
      <w:pPr>
        <w:spacing w:line="560" w:lineRule="exact"/>
        <w:ind w:firstLine="632" w:firstLineChars="200"/>
        <w:rPr>
          <w:rFonts w:hint="eastAsia" w:ascii="黑体" w:hAnsi="黑体" w:eastAsia="黑体" w:cs="黑体"/>
          <w:bCs/>
          <w:szCs w:val="32"/>
        </w:rPr>
      </w:pPr>
      <w:r>
        <w:rPr>
          <w:rFonts w:hint="eastAsia" w:ascii="黑体" w:hAnsi="黑体" w:eastAsia="黑体" w:cs="黑体"/>
          <w:bCs/>
          <w:szCs w:val="32"/>
        </w:rPr>
        <w:t>第四条 转</w:t>
      </w:r>
      <w:r>
        <w:rPr>
          <w:rFonts w:ascii="黑体" w:hAnsi="黑体" w:eastAsia="黑体" w:cs="黑体"/>
          <w:bCs/>
          <w:szCs w:val="32"/>
        </w:rPr>
        <w:t>专业流程</w:t>
      </w:r>
    </w:p>
    <w:p w14:paraId="2F38ED56">
      <w:pPr>
        <w:spacing w:line="560" w:lineRule="exact"/>
        <w:ind w:firstLine="632" w:firstLineChars="200"/>
        <w:rPr>
          <w:rFonts w:hint="eastAsia" w:ascii="楷体_GB2312" w:hAnsi="楷体_GB2312" w:eastAsia="楷体_GB2312" w:cs="楷体_GB2312"/>
          <w:szCs w:val="32"/>
        </w:rPr>
      </w:pPr>
      <w:r>
        <w:rPr>
          <w:rFonts w:hint="eastAsia" w:ascii="楷体_GB2312" w:hAnsi="楷体_GB2312" w:eastAsia="楷体_GB2312" w:cs="楷体_GB2312"/>
          <w:szCs w:val="32"/>
        </w:rPr>
        <w:t>（一）学生报名流程</w:t>
      </w:r>
    </w:p>
    <w:p w14:paraId="64938CF4">
      <w:pPr>
        <w:spacing w:line="560" w:lineRule="exact"/>
        <w:ind w:firstLine="632" w:firstLineChars="200"/>
        <w:rPr>
          <w:rFonts w:hint="eastAsia" w:hAnsi="仿宋_GB2312" w:cs="仿宋_GB2312"/>
          <w:szCs w:val="32"/>
        </w:rPr>
      </w:pPr>
      <w:r>
        <w:rPr>
          <w:rFonts w:hint="eastAsia" w:hAnsi="仿宋_GB2312" w:cs="仿宋_GB2312"/>
          <w:szCs w:val="32"/>
        </w:rPr>
        <w:t>符合转专业资格条件的学生于202</w:t>
      </w:r>
      <w:r>
        <w:rPr>
          <w:rFonts w:hint="eastAsia" w:hAnsi="仿宋_GB2312" w:cs="仿宋_GB2312"/>
          <w:szCs w:val="32"/>
          <w:lang w:val="en-US" w:eastAsia="zh-CN"/>
        </w:rPr>
        <w:t>6</w:t>
      </w:r>
      <w:r>
        <w:rPr>
          <w:rFonts w:hint="eastAsia" w:hAnsi="仿宋_GB2312" w:cs="仿宋_GB2312"/>
          <w:szCs w:val="32"/>
        </w:rPr>
        <w:t xml:space="preserve"> 年</w:t>
      </w:r>
      <w:r>
        <w:rPr>
          <w:rFonts w:hint="eastAsia" w:hAnsi="仿宋_GB2312" w:cs="仿宋_GB2312"/>
          <w:szCs w:val="32"/>
          <w:lang w:val="en-US" w:eastAsia="zh-CN"/>
        </w:rPr>
        <w:t>4</w:t>
      </w:r>
      <w:r>
        <w:rPr>
          <w:rFonts w:hint="eastAsia" w:hAnsi="仿宋_GB2312" w:cs="仿宋_GB2312"/>
          <w:szCs w:val="32"/>
        </w:rPr>
        <w:t>月</w:t>
      </w:r>
      <w:r>
        <w:rPr>
          <w:rFonts w:hint="eastAsia" w:hAnsi="仿宋_GB2312" w:cs="仿宋_GB2312"/>
          <w:szCs w:val="32"/>
          <w:lang w:val="en-US" w:eastAsia="zh-CN"/>
        </w:rPr>
        <w:t>1</w:t>
      </w:r>
      <w:r>
        <w:rPr>
          <w:rFonts w:hint="eastAsia" w:hAnsi="仿宋_GB2312" w:cs="仿宋_GB2312"/>
          <w:szCs w:val="32"/>
        </w:rPr>
        <w:t>7日至4月</w:t>
      </w:r>
      <w:r>
        <w:rPr>
          <w:rFonts w:hint="eastAsia" w:hAnsi="仿宋_GB2312" w:cs="仿宋_GB2312"/>
          <w:szCs w:val="32"/>
          <w:lang w:val="en-US" w:eastAsia="zh-CN"/>
        </w:rPr>
        <w:t>24</w:t>
      </w:r>
      <w:r>
        <w:rPr>
          <w:rFonts w:hint="eastAsia" w:hAnsi="仿宋_GB2312" w:cs="仿宋_GB2312"/>
          <w:szCs w:val="32"/>
        </w:rPr>
        <w:t>日登录学校教务管理系统进行网上报名，填报志愿，并系统提交相关电子材料及纸质材料交学生所在学院审批。具体材料包括：“山东财经大学东方学院转专业申请表”、“第一学期所有课程期末考试成绩单”（教务科研处盖章有效）、拟转入</w:t>
      </w:r>
      <w:r>
        <w:rPr>
          <w:rFonts w:hint="eastAsia" w:hAnsi="仿宋_GB2312" w:cs="仿宋_GB2312"/>
          <w:szCs w:val="32"/>
          <w:lang w:val="en-US" w:eastAsia="zh-CN"/>
        </w:rPr>
        <w:t>信息管理与信息系统和</w:t>
      </w:r>
      <w:bookmarkStart w:id="0" w:name="_GoBack"/>
      <w:bookmarkEnd w:id="0"/>
      <w:r>
        <w:rPr>
          <w:rFonts w:hint="eastAsia" w:hAnsi="仿宋_GB2312" w:cs="仿宋_GB2312"/>
          <w:szCs w:val="32"/>
        </w:rPr>
        <w:t>数据科学与大数据技术本科专业的学生还需提供纸质版“高考电子档案”（所在学院盖章有效）。</w:t>
      </w:r>
    </w:p>
    <w:p w14:paraId="3F561718">
      <w:pPr>
        <w:spacing w:line="560" w:lineRule="exact"/>
        <w:ind w:firstLine="632" w:firstLineChars="200"/>
        <w:rPr>
          <w:rFonts w:hint="eastAsia" w:hAnsi="仿宋_GB2312" w:cs="仿宋_GB2312"/>
          <w:szCs w:val="32"/>
        </w:rPr>
      </w:pPr>
      <w:r>
        <w:rPr>
          <w:rFonts w:hint="eastAsia" w:hAnsi="仿宋_GB2312" w:cs="仿宋_GB2312"/>
          <w:szCs w:val="32"/>
        </w:rPr>
        <w:t>所在学院审核完毕后，于202</w:t>
      </w:r>
      <w:r>
        <w:rPr>
          <w:rFonts w:hint="eastAsia" w:hAnsi="仿宋_GB2312" w:cs="仿宋_GB2312"/>
          <w:szCs w:val="32"/>
          <w:lang w:val="en-US" w:eastAsia="zh-CN"/>
        </w:rPr>
        <w:t>6</w:t>
      </w:r>
      <w:r>
        <w:rPr>
          <w:rFonts w:hint="eastAsia" w:hAnsi="仿宋_GB2312" w:cs="仿宋_GB2312"/>
          <w:szCs w:val="32"/>
        </w:rPr>
        <w:t>年</w:t>
      </w:r>
      <w:r>
        <w:rPr>
          <w:rFonts w:hint="eastAsia" w:hAnsi="仿宋_GB2312" w:cs="仿宋_GB2312"/>
          <w:szCs w:val="32"/>
          <w:lang w:val="en-US" w:eastAsia="zh-CN"/>
        </w:rPr>
        <w:t>4</w:t>
      </w:r>
      <w:r>
        <w:rPr>
          <w:rFonts w:hint="eastAsia" w:hAnsi="仿宋_GB2312" w:cs="仿宋_GB2312"/>
          <w:szCs w:val="32"/>
        </w:rPr>
        <w:t>月</w:t>
      </w:r>
      <w:r>
        <w:rPr>
          <w:rFonts w:hint="eastAsia" w:hAnsi="仿宋_GB2312" w:cs="仿宋_GB2312"/>
          <w:szCs w:val="32"/>
          <w:lang w:val="en-US" w:eastAsia="zh-CN"/>
        </w:rPr>
        <w:t>27</w:t>
      </w:r>
      <w:r>
        <w:rPr>
          <w:rFonts w:hint="eastAsia" w:hAnsi="仿宋_GB2312" w:cs="仿宋_GB2312"/>
          <w:szCs w:val="32"/>
        </w:rPr>
        <w:t>日至4月</w:t>
      </w:r>
      <w:r>
        <w:rPr>
          <w:rFonts w:hint="eastAsia" w:hAnsi="仿宋_GB2312" w:cs="仿宋_GB2312"/>
          <w:szCs w:val="32"/>
          <w:lang w:val="en-US" w:eastAsia="zh-CN"/>
        </w:rPr>
        <w:t>30</w:t>
      </w:r>
      <w:r>
        <w:rPr>
          <w:rFonts w:hint="eastAsia" w:hAnsi="仿宋_GB2312" w:cs="仿宋_GB2312"/>
          <w:szCs w:val="32"/>
        </w:rPr>
        <w:t>日对批准转出学生名单进行公示，公示无异议后将名单及材料报教务科研处，并在教务管理系统中对学生申请进行审核。</w:t>
      </w:r>
    </w:p>
    <w:p w14:paraId="6F03C1E5">
      <w:pPr>
        <w:spacing w:line="560" w:lineRule="exact"/>
        <w:ind w:firstLine="632" w:firstLineChars="200"/>
        <w:rPr>
          <w:rFonts w:hint="eastAsia" w:hAnsi="仿宋_GB2312" w:cs="仿宋_GB2312"/>
          <w:szCs w:val="32"/>
        </w:rPr>
      </w:pPr>
      <w:r>
        <w:rPr>
          <w:rFonts w:hint="eastAsia" w:hAnsi="仿宋_GB2312" w:cs="仿宋_GB2312"/>
          <w:szCs w:val="32"/>
        </w:rPr>
        <w:t>学生可通过教务系统查询审批状态，同时及时关注我院网站选拔通知安排，申请转入我院的学生请提前在学院网站了解拟转入专业的人才培养方案。</w:t>
      </w:r>
    </w:p>
    <w:p w14:paraId="4A1F36B1">
      <w:pPr>
        <w:spacing w:line="560" w:lineRule="exact"/>
        <w:ind w:firstLine="632" w:firstLineChars="200"/>
        <w:rPr>
          <w:rFonts w:hint="eastAsia" w:ascii="楷体_GB2312" w:hAnsi="楷体_GB2312" w:eastAsia="楷体_GB2312" w:cs="楷体_GB2312"/>
          <w:szCs w:val="32"/>
        </w:rPr>
      </w:pPr>
      <w:r>
        <w:rPr>
          <w:rFonts w:hint="eastAsia" w:ascii="楷体_GB2312" w:hAnsi="楷体_GB2312" w:eastAsia="楷体_GB2312" w:cs="楷体_GB2312"/>
          <w:szCs w:val="32"/>
        </w:rPr>
        <w:t>（二）选拔原则与标准</w:t>
      </w:r>
    </w:p>
    <w:p w14:paraId="5091BEE4">
      <w:pPr>
        <w:spacing w:line="560" w:lineRule="exact"/>
        <w:ind w:firstLine="632" w:firstLineChars="200"/>
        <w:rPr>
          <w:rFonts w:hint="eastAsia" w:hAnsi="仿宋_GB2312" w:cs="仿宋_GB2312"/>
          <w:szCs w:val="32"/>
        </w:rPr>
      </w:pPr>
      <w:r>
        <w:rPr>
          <w:rFonts w:hint="eastAsia" w:hAnsi="仿宋_GB2312" w:cs="仿宋_GB2312"/>
          <w:szCs w:val="32"/>
        </w:rPr>
        <w:t>学院转专业工作组负责组织选拔工作，按照“志愿优先，成绩排序”原则进行选拔。</w:t>
      </w:r>
    </w:p>
    <w:p w14:paraId="281F670D">
      <w:pPr>
        <w:spacing w:line="560" w:lineRule="exact"/>
        <w:ind w:firstLine="632" w:firstLineChars="200"/>
        <w:rPr>
          <w:rFonts w:hint="eastAsia" w:hAnsi="仿宋_GB2312" w:cs="仿宋_GB2312"/>
          <w:szCs w:val="32"/>
        </w:rPr>
      </w:pPr>
      <w:r>
        <w:rPr>
          <w:rFonts w:hint="eastAsia" w:hAnsi="仿宋_GB2312" w:cs="仿宋_GB2312"/>
          <w:szCs w:val="32"/>
        </w:rPr>
        <w:t>根据学生转专业报名基本情况、第一学期所有课程期末考试成绩及面试情况，确定拟录取名单。若被录取的学生有自愿放弃转专业的，则按转专业成绩排序由高到低依次递补，录满名额为止。</w:t>
      </w:r>
    </w:p>
    <w:p w14:paraId="002425CD">
      <w:pPr>
        <w:spacing w:line="560" w:lineRule="exact"/>
        <w:ind w:firstLine="632" w:firstLineChars="200"/>
        <w:rPr>
          <w:rFonts w:ascii="楷体_GB2312" w:eastAsia="楷体_GB2312"/>
          <w:szCs w:val="32"/>
        </w:rPr>
      </w:pPr>
      <w:r>
        <w:rPr>
          <w:rFonts w:hint="eastAsia" w:ascii="楷体_GB2312" w:hAnsi="楷体_GB2312" w:eastAsia="楷体_GB2312" w:cs="楷体_GB2312"/>
          <w:szCs w:val="32"/>
        </w:rPr>
        <w:t>（三）考核时间、形式、地点</w:t>
      </w:r>
    </w:p>
    <w:p w14:paraId="133C3B67">
      <w:pPr>
        <w:spacing w:line="560" w:lineRule="exact"/>
        <w:ind w:firstLine="632" w:firstLineChars="200"/>
        <w:rPr>
          <w:rFonts w:hint="eastAsia" w:hAnsi="仿宋_GB2312" w:cs="仿宋_GB2312"/>
          <w:szCs w:val="32"/>
        </w:rPr>
      </w:pPr>
      <w:r>
        <w:rPr>
          <w:rFonts w:hint="eastAsia" w:hAnsi="仿宋_GB2312" w:cs="仿宋_GB2312"/>
          <w:szCs w:val="32"/>
        </w:rPr>
        <w:t>学院选拔时间为202</w:t>
      </w:r>
      <w:r>
        <w:rPr>
          <w:rFonts w:hint="eastAsia" w:hAnsi="仿宋_GB2312" w:cs="仿宋_GB2312"/>
          <w:szCs w:val="32"/>
          <w:lang w:val="en-US" w:eastAsia="zh-CN"/>
        </w:rPr>
        <w:t>6</w:t>
      </w:r>
      <w:r>
        <w:rPr>
          <w:rFonts w:hint="eastAsia" w:hAnsi="仿宋_GB2312" w:cs="仿宋_GB2312"/>
          <w:szCs w:val="32"/>
        </w:rPr>
        <w:t>年</w:t>
      </w:r>
      <w:r>
        <w:rPr>
          <w:rFonts w:hint="eastAsia" w:hAnsi="仿宋_GB2312" w:cs="仿宋_GB2312"/>
          <w:szCs w:val="32"/>
          <w:lang w:val="en-US" w:eastAsia="zh-CN"/>
        </w:rPr>
        <w:t>5</w:t>
      </w:r>
      <w:r>
        <w:rPr>
          <w:rFonts w:hint="eastAsia" w:hAnsi="仿宋_GB2312" w:cs="仿宋_GB2312"/>
          <w:szCs w:val="32"/>
        </w:rPr>
        <w:t>月1</w:t>
      </w:r>
      <w:r>
        <w:rPr>
          <w:rFonts w:hint="eastAsia" w:hAnsi="仿宋_GB2312" w:cs="仿宋_GB2312"/>
          <w:szCs w:val="32"/>
          <w:lang w:val="en-US" w:eastAsia="zh-CN"/>
        </w:rPr>
        <w:t>3</w:t>
      </w:r>
      <w:r>
        <w:rPr>
          <w:rFonts w:hint="eastAsia" w:hAnsi="仿宋_GB2312" w:cs="仿宋_GB2312"/>
          <w:szCs w:val="32"/>
        </w:rPr>
        <w:t>日至</w:t>
      </w:r>
      <w:r>
        <w:rPr>
          <w:rFonts w:hint="eastAsia" w:hAnsi="仿宋_GB2312" w:cs="仿宋_GB2312"/>
          <w:szCs w:val="32"/>
          <w:lang w:val="en-US" w:eastAsia="zh-CN"/>
        </w:rPr>
        <w:t>5</w:t>
      </w:r>
      <w:r>
        <w:rPr>
          <w:rFonts w:hint="eastAsia" w:hAnsi="仿宋_GB2312" w:cs="仿宋_GB2312"/>
          <w:szCs w:val="32"/>
        </w:rPr>
        <w:t>月</w:t>
      </w:r>
      <w:r>
        <w:rPr>
          <w:rFonts w:hint="eastAsia" w:hAnsi="仿宋_GB2312" w:cs="仿宋_GB2312"/>
          <w:szCs w:val="32"/>
          <w:lang w:val="en-US" w:eastAsia="zh-CN"/>
        </w:rPr>
        <w:t>17</w:t>
      </w:r>
      <w:r>
        <w:rPr>
          <w:rFonts w:hint="eastAsia" w:hAnsi="仿宋_GB2312" w:cs="仿宋_GB2312"/>
          <w:szCs w:val="32"/>
        </w:rPr>
        <w:t>日，面试时间、地点及要求将另行通知，请随时关注数据科学学院公示墙（求真楼3楼）。</w:t>
      </w:r>
    </w:p>
    <w:p w14:paraId="545AC38D">
      <w:pPr>
        <w:spacing w:line="560" w:lineRule="exact"/>
        <w:ind w:firstLine="632" w:firstLineChars="200"/>
        <w:rPr>
          <w:rFonts w:hint="eastAsia" w:hAnsi="仿宋_GB2312" w:cs="仿宋_GB2312"/>
          <w:szCs w:val="32"/>
        </w:rPr>
      </w:pPr>
      <w:r>
        <w:rPr>
          <w:rFonts w:hint="eastAsia" w:hAnsi="仿宋_GB2312" w:cs="仿宋_GB2312"/>
          <w:szCs w:val="32"/>
        </w:rPr>
        <w:t>学院转专业工作组负责对申请转专业的学生资格进行审查，并对符合申请资格的学生进行面试选拔，面试总成绩 100 分，包括思想品质、学业规划、专业认识、专业潜力、语言沟通、综合素质等方面。</w:t>
      </w:r>
    </w:p>
    <w:p w14:paraId="373F0227">
      <w:pPr>
        <w:spacing w:line="560" w:lineRule="exact"/>
        <w:ind w:firstLine="632" w:firstLineChars="200"/>
        <w:rPr>
          <w:rFonts w:hint="eastAsia" w:hAnsi="仿宋_GB2312" w:cs="仿宋_GB2312"/>
          <w:szCs w:val="32"/>
        </w:rPr>
      </w:pPr>
      <w:r>
        <w:rPr>
          <w:rFonts w:hint="eastAsia" w:hAnsi="仿宋_GB2312" w:cs="仿宋_GB2312"/>
          <w:szCs w:val="32"/>
        </w:rPr>
        <w:t>最终转专业成绩由第一学期所有课程期末考试平均成绩和面试成绩组成。其中，第一学期所有课程平均成绩占50%、面试成绩占50%。</w:t>
      </w:r>
    </w:p>
    <w:p w14:paraId="3D9474E3">
      <w:pPr>
        <w:spacing w:line="560" w:lineRule="exact"/>
        <w:ind w:firstLine="632" w:firstLineChars="200"/>
        <w:rPr>
          <w:rFonts w:hint="eastAsia" w:ascii="楷体_GB2312" w:hAnsi="楷体_GB2312" w:eastAsia="楷体_GB2312" w:cs="楷体_GB2312"/>
          <w:szCs w:val="32"/>
        </w:rPr>
      </w:pPr>
      <w:r>
        <w:rPr>
          <w:rFonts w:hint="eastAsia" w:ascii="楷体_GB2312" w:hAnsi="楷体_GB2312" w:eastAsia="楷体_GB2312" w:cs="楷体_GB2312"/>
          <w:szCs w:val="32"/>
        </w:rPr>
        <w:t>（四）确定名单</w:t>
      </w:r>
    </w:p>
    <w:p w14:paraId="712F7FE6">
      <w:pPr>
        <w:spacing w:line="560" w:lineRule="exact"/>
        <w:ind w:firstLine="632" w:firstLineChars="200"/>
        <w:rPr>
          <w:rFonts w:hint="eastAsia" w:hAnsi="仿宋_GB2312" w:cs="仿宋_GB2312"/>
          <w:color w:val="auto"/>
          <w:szCs w:val="32"/>
        </w:rPr>
      </w:pPr>
      <w:r>
        <w:rPr>
          <w:rFonts w:hint="eastAsia" w:hAnsi="仿宋_GB2312" w:cs="仿宋_GB2312"/>
          <w:szCs w:val="32"/>
        </w:rPr>
        <w:t>学院在确定考核结果和各专业拟接收学生名单后，于202</w:t>
      </w:r>
      <w:r>
        <w:rPr>
          <w:rFonts w:hint="eastAsia" w:hAnsi="仿宋_GB2312" w:cs="仿宋_GB2312"/>
          <w:szCs w:val="32"/>
          <w:lang w:val="en-US" w:eastAsia="zh-CN"/>
        </w:rPr>
        <w:t>6</w:t>
      </w:r>
      <w:r>
        <w:rPr>
          <w:rFonts w:hint="eastAsia" w:hAnsi="仿宋_GB2312" w:cs="仿宋_GB2312"/>
          <w:szCs w:val="32"/>
        </w:rPr>
        <w:t xml:space="preserve"> 年</w:t>
      </w:r>
      <w:r>
        <w:rPr>
          <w:rFonts w:hint="eastAsia" w:hAnsi="仿宋_GB2312" w:cs="仿宋_GB2312"/>
          <w:szCs w:val="32"/>
          <w:lang w:val="en-US" w:eastAsia="zh-CN"/>
        </w:rPr>
        <w:t>5</w:t>
      </w:r>
      <w:r>
        <w:rPr>
          <w:rFonts w:hint="eastAsia" w:hAnsi="仿宋_GB2312" w:cs="仿宋_GB2312"/>
          <w:szCs w:val="32"/>
        </w:rPr>
        <w:t>月</w:t>
      </w:r>
      <w:r>
        <w:rPr>
          <w:rFonts w:hint="eastAsia" w:hAnsi="仿宋_GB2312" w:cs="仿宋_GB2312"/>
          <w:szCs w:val="32"/>
          <w:lang w:val="en-US" w:eastAsia="zh-CN"/>
        </w:rPr>
        <w:t>1</w:t>
      </w:r>
      <w:r>
        <w:rPr>
          <w:rFonts w:hint="eastAsia" w:hAnsi="仿宋_GB2312" w:cs="仿宋_GB2312"/>
          <w:szCs w:val="32"/>
        </w:rPr>
        <w:t>8日至</w:t>
      </w:r>
      <w:r>
        <w:rPr>
          <w:rFonts w:hint="eastAsia" w:hAnsi="仿宋_GB2312" w:cs="仿宋_GB2312"/>
          <w:szCs w:val="32"/>
          <w:lang w:val="en-US" w:eastAsia="zh-CN"/>
        </w:rPr>
        <w:t>5</w:t>
      </w:r>
      <w:r>
        <w:rPr>
          <w:rFonts w:hint="eastAsia" w:hAnsi="仿宋_GB2312" w:cs="仿宋_GB2312"/>
          <w:szCs w:val="32"/>
        </w:rPr>
        <w:t>月</w:t>
      </w:r>
      <w:r>
        <w:rPr>
          <w:rFonts w:hint="eastAsia" w:hAnsi="仿宋_GB2312" w:cs="仿宋_GB2312"/>
          <w:szCs w:val="32"/>
          <w:lang w:val="en-US" w:eastAsia="zh-CN"/>
        </w:rPr>
        <w:t>20</w:t>
      </w:r>
      <w:r>
        <w:rPr>
          <w:rFonts w:hint="eastAsia" w:hAnsi="仿宋_GB2312" w:cs="仿宋_GB2312"/>
          <w:szCs w:val="32"/>
        </w:rPr>
        <w:t>日在学院公示墙进行公示，公示无异议后将名单及材料上报教务科研处审核，经学校审批后，办理转专业学籍异动，编入相应班级，</w:t>
      </w:r>
      <w:r>
        <w:rPr>
          <w:rFonts w:hint="eastAsia" w:hAnsi="仿宋_GB2312" w:cs="仿宋_GB2312"/>
          <w:color w:val="auto"/>
          <w:szCs w:val="32"/>
        </w:rPr>
        <w:t>于下学期初到新专业就读。</w:t>
      </w:r>
    </w:p>
    <w:p w14:paraId="789A2AD5">
      <w:pPr>
        <w:spacing w:line="560" w:lineRule="exact"/>
        <w:ind w:firstLine="632" w:firstLineChars="200"/>
        <w:rPr>
          <w:rFonts w:hint="eastAsia" w:ascii="黑体" w:hAnsi="黑体" w:eastAsia="黑体" w:cs="黑体"/>
          <w:bCs/>
          <w:szCs w:val="32"/>
        </w:rPr>
      </w:pPr>
      <w:r>
        <w:rPr>
          <w:rFonts w:hint="eastAsia" w:ascii="黑体" w:hAnsi="黑体" w:eastAsia="黑体" w:cs="黑体"/>
          <w:bCs/>
          <w:szCs w:val="32"/>
        </w:rPr>
        <w:t>第五条 其他</w:t>
      </w:r>
    </w:p>
    <w:p w14:paraId="78CCC956">
      <w:pPr>
        <w:spacing w:line="560" w:lineRule="exact"/>
        <w:ind w:firstLine="632" w:firstLineChars="200"/>
        <w:rPr>
          <w:rFonts w:hint="eastAsia" w:hAnsi="仿宋_GB2312" w:cs="仿宋_GB2312"/>
          <w:szCs w:val="32"/>
        </w:rPr>
      </w:pPr>
      <w:r>
        <w:rPr>
          <w:rFonts w:hint="eastAsia" w:hAnsi="仿宋_GB2312" w:cs="仿宋_GB2312"/>
          <w:szCs w:val="32"/>
        </w:rPr>
        <w:t>本方案由数据科学学院转专业工作组办公室负责解释。未尽事宜，遵照《山东财经大学东方学院普通本专科学生转专业管理办法（试行）》（鲁财大东方教字〔2023〕30号）及相关文件办理。</w:t>
      </w:r>
    </w:p>
    <w:p w14:paraId="42D7B756">
      <w:pPr>
        <w:spacing w:line="560" w:lineRule="exact"/>
        <w:ind w:firstLine="632" w:firstLineChars="200"/>
        <w:rPr>
          <w:rFonts w:hint="eastAsia" w:hAnsi="仿宋_GB2312" w:cs="仿宋_GB2312"/>
          <w:szCs w:val="32"/>
        </w:rPr>
      </w:pPr>
      <w:r>
        <w:rPr>
          <w:rFonts w:hint="eastAsia" w:hAnsi="仿宋_GB2312" w:cs="仿宋_GB2312"/>
          <w:szCs w:val="32"/>
        </w:rPr>
        <w:t>工作小组办公室：求真楼308</w:t>
      </w:r>
    </w:p>
    <w:p w14:paraId="461BFC0E">
      <w:pPr>
        <w:spacing w:line="560" w:lineRule="exact"/>
        <w:ind w:firstLine="632" w:firstLineChars="200"/>
        <w:rPr>
          <w:rFonts w:hint="eastAsia" w:hAnsi="仿宋_GB2312" w:cs="仿宋_GB2312"/>
          <w:szCs w:val="32"/>
        </w:rPr>
      </w:pPr>
      <w:r>
        <w:rPr>
          <w:rFonts w:hint="eastAsia" w:hAnsi="仿宋_GB2312" w:cs="仿宋_GB2312"/>
          <w:szCs w:val="32"/>
        </w:rPr>
        <w:t>联系方式：0538-5397837</w:t>
      </w:r>
    </w:p>
    <w:p w14:paraId="79EE567A">
      <w:pPr>
        <w:spacing w:line="560" w:lineRule="exact"/>
        <w:ind w:firstLine="632" w:firstLineChars="200"/>
        <w:rPr>
          <w:rFonts w:hint="eastAsia" w:hAnsi="仿宋_GB2312" w:cs="仿宋_GB2312"/>
          <w:szCs w:val="32"/>
        </w:rPr>
      </w:pPr>
      <w:r>
        <w:rPr>
          <w:rFonts w:hint="eastAsia" w:hAnsi="仿宋_GB2312" w:cs="仿宋_GB2312"/>
          <w:szCs w:val="32"/>
        </w:rPr>
        <w:t>联系人：吴老师、赵老师</w:t>
      </w:r>
    </w:p>
    <w:p w14:paraId="119AF682">
      <w:pPr>
        <w:spacing w:line="560" w:lineRule="exact"/>
        <w:ind w:firstLine="632" w:firstLineChars="200"/>
        <w:rPr>
          <w:rFonts w:hint="eastAsia" w:hAnsi="仿宋_GB2312" w:cs="仿宋_GB2312"/>
          <w:szCs w:val="32"/>
        </w:rPr>
      </w:pPr>
    </w:p>
    <w:p w14:paraId="18DF1A28">
      <w:pPr>
        <w:spacing w:line="560" w:lineRule="exact"/>
        <w:ind w:firstLine="632" w:firstLineChars="200"/>
        <w:rPr>
          <w:rFonts w:hint="eastAsia" w:hAnsi="仿宋_GB2312" w:cs="仿宋_GB2312"/>
          <w:szCs w:val="32"/>
        </w:rPr>
      </w:pPr>
      <w:r>
        <w:rPr>
          <w:rFonts w:hint="eastAsia" w:hAnsi="仿宋_GB2312" w:cs="仿宋_GB2312"/>
          <w:szCs w:val="32"/>
        </w:rPr>
        <w:t xml:space="preserve"> </w:t>
      </w:r>
      <w:r>
        <w:rPr>
          <w:rFonts w:hAnsi="仿宋_GB2312" w:cs="仿宋_GB2312"/>
          <w:szCs w:val="32"/>
        </w:rPr>
        <w:t xml:space="preserve">                                 </w:t>
      </w:r>
      <w:r>
        <w:rPr>
          <w:rFonts w:hint="eastAsia" w:hAnsi="仿宋_GB2312" w:cs="仿宋_GB2312"/>
          <w:szCs w:val="32"/>
        </w:rPr>
        <w:t>数据科学学院</w:t>
      </w:r>
    </w:p>
    <w:p w14:paraId="24783703">
      <w:pPr>
        <w:spacing w:line="560" w:lineRule="exact"/>
        <w:ind w:firstLine="5688" w:firstLineChars="1800"/>
        <w:rPr>
          <w:rFonts w:hint="eastAsia" w:hAnsi="仿宋_GB2312" w:cs="仿宋_GB2312"/>
          <w:szCs w:val="32"/>
        </w:rPr>
      </w:pPr>
      <w:r>
        <w:rPr>
          <w:rFonts w:hint="eastAsia" w:hAnsi="仿宋_GB2312" w:cs="仿宋_GB2312"/>
          <w:szCs w:val="32"/>
        </w:rPr>
        <w:t>2</w:t>
      </w:r>
      <w:r>
        <w:rPr>
          <w:rFonts w:hAnsi="仿宋_GB2312" w:cs="仿宋_GB2312"/>
          <w:szCs w:val="32"/>
        </w:rPr>
        <w:t>02</w:t>
      </w:r>
      <w:r>
        <w:rPr>
          <w:rFonts w:hint="eastAsia" w:hAnsi="仿宋_GB2312" w:cs="仿宋_GB2312"/>
          <w:szCs w:val="32"/>
          <w:lang w:val="en-US" w:eastAsia="zh-CN"/>
        </w:rPr>
        <w:t>6</w:t>
      </w:r>
      <w:r>
        <w:rPr>
          <w:rFonts w:hint="eastAsia" w:hAnsi="仿宋_GB2312" w:cs="仿宋_GB2312"/>
          <w:szCs w:val="32"/>
        </w:rPr>
        <w:t>年</w:t>
      </w:r>
      <w:r>
        <w:rPr>
          <w:rFonts w:hint="eastAsia" w:hAnsi="仿宋_GB2312" w:cs="仿宋_GB2312"/>
          <w:szCs w:val="32"/>
          <w:lang w:val="en-US" w:eastAsia="zh-CN"/>
        </w:rPr>
        <w:t>4</w:t>
      </w:r>
      <w:r>
        <w:rPr>
          <w:rFonts w:hint="eastAsia" w:hAnsi="仿宋_GB2312" w:cs="仿宋_GB2312"/>
          <w:szCs w:val="32"/>
        </w:rPr>
        <w:t>月</w:t>
      </w:r>
      <w:r>
        <w:rPr>
          <w:rFonts w:hint="eastAsia" w:hAnsi="仿宋_GB2312" w:cs="仿宋_GB2312"/>
          <w:szCs w:val="32"/>
          <w:lang w:val="en-US" w:eastAsia="zh-CN"/>
        </w:rPr>
        <w:t>8</w:t>
      </w:r>
      <w:r>
        <w:rPr>
          <w:rFonts w:hint="eastAsia" w:hAnsi="仿宋_GB2312" w:cs="仿宋_GB2312"/>
          <w:szCs w:val="32"/>
        </w:rPr>
        <w:t>日</w:t>
      </w:r>
    </w:p>
    <w:p w14:paraId="6EFF15BC">
      <w:pPr>
        <w:spacing w:line="560" w:lineRule="exact"/>
        <w:ind w:firstLine="632" w:firstLineChars="200"/>
        <w:rPr>
          <w:rFonts w:hint="eastAsia" w:hAnsi="仿宋_GB2312" w:cs="仿宋_GB2312"/>
          <w:szCs w:val="32"/>
        </w:rPr>
      </w:pPr>
    </w:p>
    <w:sectPr>
      <w:footerReference r:id="rId3" w:type="default"/>
      <w:footerReference r:id="rId4" w:type="even"/>
      <w:pgSz w:w="11906" w:h="16838"/>
      <w:pgMar w:top="2098" w:right="1474" w:bottom="1984" w:left="1588" w:header="851" w:footer="1587" w:gutter="0"/>
      <w:cols w:space="720" w:num="1"/>
      <w:docGrid w:type="linesAndChars" w:linePitch="584"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175F0">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092E9">
    <w:pPr>
      <w:pStyle w:val="4"/>
      <w:framePr w:wrap="around" w:vAnchor="text" w:hAnchor="margin" w:xAlign="outside" w:y="1"/>
      <w:rPr>
        <w:rStyle w:val="9"/>
      </w:rPr>
    </w:pPr>
    <w:r>
      <w:fldChar w:fldCharType="begin"/>
    </w:r>
    <w:r>
      <w:rPr>
        <w:rStyle w:val="9"/>
      </w:rPr>
      <w:instrText xml:space="preserve">PAGE  </w:instrText>
    </w:r>
    <w:r>
      <w:fldChar w:fldCharType="end"/>
    </w:r>
  </w:p>
  <w:p w14:paraId="017B2450">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attachedTemplate r:id="rId1"/>
  <w:documentProtection w:enforcement="0"/>
  <w:defaultTabStop w:val="420"/>
  <w:drawingGridHorizontalSpacing w:val="158"/>
  <w:drawingGridVerticalSpacing w:val="292"/>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UyMTNiMjQ0ODRhYTEwMWExZDlhZjk5MDIyMjE5ODQifQ=="/>
  </w:docVars>
  <w:rsids>
    <w:rsidRoot w:val="6015680A"/>
    <w:rsid w:val="00006790"/>
    <w:rsid w:val="000257E8"/>
    <w:rsid w:val="00033F3C"/>
    <w:rsid w:val="00044C8C"/>
    <w:rsid w:val="00044EC9"/>
    <w:rsid w:val="00051151"/>
    <w:rsid w:val="000543B1"/>
    <w:rsid w:val="00063A28"/>
    <w:rsid w:val="000C7C80"/>
    <w:rsid w:val="000F1EFB"/>
    <w:rsid w:val="00114D75"/>
    <w:rsid w:val="00122A50"/>
    <w:rsid w:val="00147E63"/>
    <w:rsid w:val="00154A67"/>
    <w:rsid w:val="0019149F"/>
    <w:rsid w:val="001C38FB"/>
    <w:rsid w:val="001C5FF9"/>
    <w:rsid w:val="00212AA4"/>
    <w:rsid w:val="00220B2E"/>
    <w:rsid w:val="00234B1C"/>
    <w:rsid w:val="002427BC"/>
    <w:rsid w:val="00252084"/>
    <w:rsid w:val="00255824"/>
    <w:rsid w:val="002712C8"/>
    <w:rsid w:val="00280C14"/>
    <w:rsid w:val="002C228B"/>
    <w:rsid w:val="002E413D"/>
    <w:rsid w:val="00320682"/>
    <w:rsid w:val="003532AB"/>
    <w:rsid w:val="00372785"/>
    <w:rsid w:val="00381DFA"/>
    <w:rsid w:val="0038779F"/>
    <w:rsid w:val="003B5BB7"/>
    <w:rsid w:val="003D0DCF"/>
    <w:rsid w:val="003E5013"/>
    <w:rsid w:val="00437B86"/>
    <w:rsid w:val="00445365"/>
    <w:rsid w:val="0044736E"/>
    <w:rsid w:val="0045091C"/>
    <w:rsid w:val="00462C8D"/>
    <w:rsid w:val="00464A78"/>
    <w:rsid w:val="00493381"/>
    <w:rsid w:val="004D23D9"/>
    <w:rsid w:val="0054416F"/>
    <w:rsid w:val="005518BD"/>
    <w:rsid w:val="0055341B"/>
    <w:rsid w:val="00567AC6"/>
    <w:rsid w:val="0057061C"/>
    <w:rsid w:val="005B0F1E"/>
    <w:rsid w:val="005B5E9E"/>
    <w:rsid w:val="005C57B7"/>
    <w:rsid w:val="005D7727"/>
    <w:rsid w:val="005E5358"/>
    <w:rsid w:val="006174C4"/>
    <w:rsid w:val="006309F5"/>
    <w:rsid w:val="0063443E"/>
    <w:rsid w:val="00661430"/>
    <w:rsid w:val="006864E5"/>
    <w:rsid w:val="00696225"/>
    <w:rsid w:val="006A557C"/>
    <w:rsid w:val="006C38DC"/>
    <w:rsid w:val="006D0D10"/>
    <w:rsid w:val="006E1E47"/>
    <w:rsid w:val="006E2F64"/>
    <w:rsid w:val="006E550A"/>
    <w:rsid w:val="007011C8"/>
    <w:rsid w:val="0071010A"/>
    <w:rsid w:val="00731627"/>
    <w:rsid w:val="00780E54"/>
    <w:rsid w:val="00785F14"/>
    <w:rsid w:val="007A1AD1"/>
    <w:rsid w:val="007A2C19"/>
    <w:rsid w:val="007C5777"/>
    <w:rsid w:val="007F3FAD"/>
    <w:rsid w:val="007F609A"/>
    <w:rsid w:val="00801B31"/>
    <w:rsid w:val="00813145"/>
    <w:rsid w:val="0082312E"/>
    <w:rsid w:val="00826616"/>
    <w:rsid w:val="008278F9"/>
    <w:rsid w:val="00830116"/>
    <w:rsid w:val="0083352B"/>
    <w:rsid w:val="00847F58"/>
    <w:rsid w:val="00857411"/>
    <w:rsid w:val="00862152"/>
    <w:rsid w:val="0087214D"/>
    <w:rsid w:val="00880C6C"/>
    <w:rsid w:val="008860FA"/>
    <w:rsid w:val="00892E9F"/>
    <w:rsid w:val="008A4026"/>
    <w:rsid w:val="008A6EB0"/>
    <w:rsid w:val="008E3634"/>
    <w:rsid w:val="00907D5D"/>
    <w:rsid w:val="009219FC"/>
    <w:rsid w:val="00931861"/>
    <w:rsid w:val="00932401"/>
    <w:rsid w:val="00945341"/>
    <w:rsid w:val="00950D62"/>
    <w:rsid w:val="009623A9"/>
    <w:rsid w:val="00963F03"/>
    <w:rsid w:val="0097183B"/>
    <w:rsid w:val="00996598"/>
    <w:rsid w:val="009A27CA"/>
    <w:rsid w:val="009D4FF1"/>
    <w:rsid w:val="009E1E11"/>
    <w:rsid w:val="00A005CF"/>
    <w:rsid w:val="00A01C2C"/>
    <w:rsid w:val="00A0538C"/>
    <w:rsid w:val="00A108C5"/>
    <w:rsid w:val="00A46F37"/>
    <w:rsid w:val="00A53156"/>
    <w:rsid w:val="00A579B7"/>
    <w:rsid w:val="00A6044E"/>
    <w:rsid w:val="00A827BA"/>
    <w:rsid w:val="00A97CF8"/>
    <w:rsid w:val="00A97D7C"/>
    <w:rsid w:val="00AA0FBC"/>
    <w:rsid w:val="00AA294A"/>
    <w:rsid w:val="00AC0D6D"/>
    <w:rsid w:val="00AD0B12"/>
    <w:rsid w:val="00AF1B14"/>
    <w:rsid w:val="00AF4C10"/>
    <w:rsid w:val="00B13D57"/>
    <w:rsid w:val="00B27F5F"/>
    <w:rsid w:val="00B4760A"/>
    <w:rsid w:val="00B6229D"/>
    <w:rsid w:val="00B66A18"/>
    <w:rsid w:val="00B7256A"/>
    <w:rsid w:val="00BB0432"/>
    <w:rsid w:val="00BB5474"/>
    <w:rsid w:val="00BC19F5"/>
    <w:rsid w:val="00BD28F5"/>
    <w:rsid w:val="00BE331A"/>
    <w:rsid w:val="00BF747C"/>
    <w:rsid w:val="00C605D1"/>
    <w:rsid w:val="00C732BA"/>
    <w:rsid w:val="00C73A4B"/>
    <w:rsid w:val="00C95B9C"/>
    <w:rsid w:val="00CA3659"/>
    <w:rsid w:val="00CA4FD6"/>
    <w:rsid w:val="00CA66E6"/>
    <w:rsid w:val="00CB7A47"/>
    <w:rsid w:val="00CE61BA"/>
    <w:rsid w:val="00CF1AE5"/>
    <w:rsid w:val="00CF3864"/>
    <w:rsid w:val="00CF6AD5"/>
    <w:rsid w:val="00CF79B9"/>
    <w:rsid w:val="00D26084"/>
    <w:rsid w:val="00D40151"/>
    <w:rsid w:val="00D65CB3"/>
    <w:rsid w:val="00D810F6"/>
    <w:rsid w:val="00D83811"/>
    <w:rsid w:val="00D926DE"/>
    <w:rsid w:val="00D92866"/>
    <w:rsid w:val="00D93A0F"/>
    <w:rsid w:val="00DA185D"/>
    <w:rsid w:val="00DA1D98"/>
    <w:rsid w:val="00DB63F2"/>
    <w:rsid w:val="00DC4331"/>
    <w:rsid w:val="00DE57D0"/>
    <w:rsid w:val="00DF2928"/>
    <w:rsid w:val="00E03E23"/>
    <w:rsid w:val="00E06F4B"/>
    <w:rsid w:val="00E11940"/>
    <w:rsid w:val="00E1298A"/>
    <w:rsid w:val="00E176CA"/>
    <w:rsid w:val="00E21F93"/>
    <w:rsid w:val="00E27C61"/>
    <w:rsid w:val="00E313B1"/>
    <w:rsid w:val="00E5557B"/>
    <w:rsid w:val="00E60084"/>
    <w:rsid w:val="00E825A5"/>
    <w:rsid w:val="00EC1AC7"/>
    <w:rsid w:val="00EE5818"/>
    <w:rsid w:val="00EF25D3"/>
    <w:rsid w:val="00F07D87"/>
    <w:rsid w:val="00F14809"/>
    <w:rsid w:val="00F63E49"/>
    <w:rsid w:val="00F66AEC"/>
    <w:rsid w:val="00F71ECA"/>
    <w:rsid w:val="00F82785"/>
    <w:rsid w:val="00F86503"/>
    <w:rsid w:val="00F86624"/>
    <w:rsid w:val="00FA7A46"/>
    <w:rsid w:val="00FE202F"/>
    <w:rsid w:val="00FE38F3"/>
    <w:rsid w:val="00FF0ED2"/>
    <w:rsid w:val="02E52ABA"/>
    <w:rsid w:val="041B7490"/>
    <w:rsid w:val="0CB07813"/>
    <w:rsid w:val="0D2B57F6"/>
    <w:rsid w:val="0FD25D33"/>
    <w:rsid w:val="147D22B8"/>
    <w:rsid w:val="15641144"/>
    <w:rsid w:val="1DB80F68"/>
    <w:rsid w:val="1EB94D79"/>
    <w:rsid w:val="20BF2CFF"/>
    <w:rsid w:val="2402623B"/>
    <w:rsid w:val="262D5383"/>
    <w:rsid w:val="262F202E"/>
    <w:rsid w:val="26BA2E6C"/>
    <w:rsid w:val="2A210E0B"/>
    <w:rsid w:val="2FF62237"/>
    <w:rsid w:val="31C52E1A"/>
    <w:rsid w:val="31F60EE9"/>
    <w:rsid w:val="34BF242A"/>
    <w:rsid w:val="3681116F"/>
    <w:rsid w:val="38D16CBB"/>
    <w:rsid w:val="3C126749"/>
    <w:rsid w:val="3C941794"/>
    <w:rsid w:val="3DDC52FE"/>
    <w:rsid w:val="3E732610"/>
    <w:rsid w:val="41495876"/>
    <w:rsid w:val="41EA4D8E"/>
    <w:rsid w:val="426870FE"/>
    <w:rsid w:val="42E04E53"/>
    <w:rsid w:val="439175D8"/>
    <w:rsid w:val="481370A7"/>
    <w:rsid w:val="481F17AB"/>
    <w:rsid w:val="48A43BA3"/>
    <w:rsid w:val="4EAE42B3"/>
    <w:rsid w:val="580507D2"/>
    <w:rsid w:val="6015680A"/>
    <w:rsid w:val="60390058"/>
    <w:rsid w:val="60CF14B6"/>
    <w:rsid w:val="61524E95"/>
    <w:rsid w:val="61810132"/>
    <w:rsid w:val="699A46EE"/>
    <w:rsid w:val="6D535020"/>
    <w:rsid w:val="6F0E1914"/>
    <w:rsid w:val="6FC67AB3"/>
    <w:rsid w:val="728A6162"/>
    <w:rsid w:val="72AB047F"/>
    <w:rsid w:val="73002881"/>
    <w:rsid w:val="73477B76"/>
    <w:rsid w:val="73FD7E90"/>
    <w:rsid w:val="77021F22"/>
    <w:rsid w:val="77725C59"/>
    <w:rsid w:val="79F93484"/>
    <w:rsid w:val="7B443926"/>
    <w:rsid w:val="7FDA1C8A"/>
    <w:rsid w:val="7FE442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仿宋_GB2312" w:hAnsi="Calibri" w:eastAsia="仿宋_GB2312" w:cs="Times New Roman"/>
      <w:kern w:val="2"/>
      <w:sz w:val="32"/>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5"/>
    <w:autoRedefine/>
    <w:qFormat/>
    <w:uiPriority w:val="0"/>
    <w:pPr>
      <w:ind w:left="100" w:leftChars="2500"/>
    </w:pPr>
  </w:style>
  <w:style w:type="paragraph" w:styleId="3">
    <w:name w:val="Balloon Text"/>
    <w:basedOn w:val="1"/>
    <w:link w:val="13"/>
    <w:autoRedefine/>
    <w:semiHidden/>
    <w:unhideWhenUsed/>
    <w:qFormat/>
    <w:uiPriority w:val="0"/>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kern w:val="0"/>
      <w:sz w:val="18"/>
      <w:szCs w:val="18"/>
    </w:rPr>
  </w:style>
  <w:style w:type="paragraph" w:styleId="5">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styleId="10">
    <w:name w:val="Hyperlink"/>
    <w:basedOn w:val="8"/>
    <w:autoRedefine/>
    <w:unhideWhenUsed/>
    <w:qFormat/>
    <w:uiPriority w:val="0"/>
    <w:rPr>
      <w:color w:val="0563C1" w:themeColor="hyperlink"/>
      <w:u w:val="single"/>
    </w:rPr>
  </w:style>
  <w:style w:type="character" w:customStyle="1" w:styleId="11">
    <w:name w:val="页眉 字符"/>
    <w:basedOn w:val="8"/>
    <w:link w:val="5"/>
    <w:autoRedefine/>
    <w:qFormat/>
    <w:uiPriority w:val="0"/>
    <w:rPr>
      <w:rFonts w:ascii="仿宋_GB2312" w:hAnsi="Calibri" w:eastAsia="仿宋_GB2312"/>
      <w:kern w:val="2"/>
      <w:sz w:val="18"/>
      <w:szCs w:val="18"/>
    </w:rPr>
  </w:style>
  <w:style w:type="character" w:customStyle="1" w:styleId="12">
    <w:name w:val="页脚 字符"/>
    <w:basedOn w:val="8"/>
    <w:link w:val="4"/>
    <w:autoRedefine/>
    <w:qFormat/>
    <w:uiPriority w:val="99"/>
    <w:rPr>
      <w:rFonts w:ascii="仿宋_GB2312" w:hAnsi="Calibri" w:eastAsia="仿宋_GB2312"/>
      <w:sz w:val="18"/>
      <w:szCs w:val="18"/>
    </w:rPr>
  </w:style>
  <w:style w:type="character" w:customStyle="1" w:styleId="13">
    <w:name w:val="批注框文本 字符"/>
    <w:basedOn w:val="8"/>
    <w:link w:val="3"/>
    <w:autoRedefine/>
    <w:semiHidden/>
    <w:qFormat/>
    <w:uiPriority w:val="0"/>
    <w:rPr>
      <w:rFonts w:ascii="仿宋_GB2312" w:hAnsi="Calibri" w:eastAsia="仿宋_GB2312"/>
      <w:kern w:val="2"/>
      <w:sz w:val="18"/>
      <w:szCs w:val="18"/>
    </w:rPr>
  </w:style>
  <w:style w:type="paragraph" w:styleId="14">
    <w:name w:val="List Paragraph"/>
    <w:basedOn w:val="1"/>
    <w:autoRedefine/>
    <w:unhideWhenUsed/>
    <w:qFormat/>
    <w:uiPriority w:val="99"/>
    <w:pPr>
      <w:ind w:firstLine="420" w:firstLineChars="200"/>
    </w:pPr>
  </w:style>
  <w:style w:type="character" w:customStyle="1" w:styleId="15">
    <w:name w:val="日期 字符"/>
    <w:basedOn w:val="8"/>
    <w:link w:val="2"/>
    <w:autoRedefine/>
    <w:qFormat/>
    <w:uiPriority w:val="0"/>
    <w:rPr>
      <w:rFonts w:ascii="仿宋_GB2312" w:hAnsi="Calibri" w:eastAsia="仿宋_GB2312"/>
      <w:kern w:val="2"/>
      <w:sz w:val="3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92B69-0C0A-4736-A6E0-0356C501F652}">
  <ds:schemaRefs/>
</ds:datastoreItem>
</file>

<file path=docProps/app.xml><?xml version="1.0" encoding="utf-8"?>
<Properties xmlns="http://schemas.openxmlformats.org/officeDocument/2006/extended-properties" xmlns:vt="http://schemas.openxmlformats.org/officeDocument/2006/docPropsVTypes">
  <Template>0.docx</Template>
  <Company>CHINA</Company>
  <Pages>4</Pages>
  <Words>1459</Words>
  <Characters>1524</Characters>
  <Lines>11</Lines>
  <Paragraphs>3</Paragraphs>
  <TotalTime>188</TotalTime>
  <ScaleCrop>false</ScaleCrop>
  <LinksUpToDate>false</LinksUpToDate>
  <CharactersWithSpaces>1568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2020-06-21T14:48:00Z</dcterms:created>
  <dc:creator>小怪bu乖</dc:creator>
  <cp:lastModifiedBy>幸福大巴</cp:lastModifiedBy>
  <cp:lastPrinted>2020-07-03T00:49:00Z</cp:lastPrinted>
  <dcterms:modified xsi:type="dcterms:W3CDTF">2026-04-08T01:23:04Z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31FE6BDE9B914412BB97B48931931CBB</vt:lpwstr>
  </property>
  <property fmtid="{D5CDD505-2E9C-101B-9397-08002B2CF9AE}" pid="4" name="KSOTemplateDocerSaveRecord">
    <vt:lpwstr>eyJoZGlkIjoiN2Q1YWYxOGQyYzM5MzI3ZjY5Njc3N2U1NDg3ZmY4MTkiLCJ1c2VySWQiOiIzOTA5MjUzNDcifQ==</vt:lpwstr>
  </property>
</Properties>
</file>