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EF96E1">
      <w:pPr>
        <w:jc w:val="center"/>
        <w:rPr>
          <w:b/>
          <w:sz w:val="36"/>
          <w:szCs w:val="36"/>
        </w:rPr>
      </w:pPr>
      <w:r>
        <w:rPr>
          <w:rFonts w:hint="eastAsia"/>
          <w:b/>
          <w:sz w:val="36"/>
          <w:szCs w:val="36"/>
          <w:lang w:val="en-US" w:eastAsia="zh-CN"/>
        </w:rPr>
        <w:t>山东财经大学东方学院</w:t>
      </w:r>
      <w:r>
        <w:rPr>
          <w:rFonts w:hint="eastAsia"/>
          <w:b/>
          <w:sz w:val="36"/>
          <w:szCs w:val="36"/>
        </w:rPr>
        <w:t>高等学历继续教育</w:t>
      </w:r>
    </w:p>
    <w:p w14:paraId="4B4E4EA9">
      <w:pPr>
        <w:spacing w:line="440" w:lineRule="auto"/>
        <w:jc w:val="center"/>
        <w:rPr>
          <w:rFonts w:hint="eastAsia" w:eastAsia="宋体"/>
          <w:b/>
          <w:sz w:val="36"/>
          <w:szCs w:val="36"/>
          <w:lang w:val="en-US" w:eastAsia="zh-CN"/>
        </w:rPr>
      </w:pPr>
      <w:r>
        <w:rPr>
          <w:rFonts w:hint="eastAsia" w:eastAsia="宋体"/>
          <w:b/>
          <w:sz w:val="36"/>
          <w:szCs w:val="36"/>
          <w:lang w:val="en-US" w:eastAsia="zh-CN"/>
        </w:rPr>
        <w:t>大数据与会计</w:t>
      </w:r>
      <w:r>
        <w:rPr>
          <w:rFonts w:hint="eastAsia"/>
          <w:b/>
          <w:sz w:val="36"/>
          <w:szCs w:val="36"/>
        </w:rPr>
        <w:t>专业人才</w:t>
      </w:r>
      <w:r>
        <w:rPr>
          <w:rFonts w:hint="eastAsia" w:eastAsia="宋体"/>
          <w:b/>
          <w:sz w:val="36"/>
          <w:szCs w:val="36"/>
          <w:lang w:val="en-US" w:eastAsia="zh-CN"/>
        </w:rPr>
        <w:t>需求报告</w:t>
      </w:r>
    </w:p>
    <w:p w14:paraId="73CA587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近年来，随着着5G时代的到来、“云大物移智”等新技术的发展和应用，数字经济的形态与内涵不断演进，国家大力推进数字化建设，伴随着新兴技术的蓬勃发展，我国财会应用市场以及相关产业结构正在经历优化升级。新的发展环境和目标对财会行业的进一步发展提出了更高的要求。根据相关数据统计分析，当前我国财会从业人员的需求量持续增长，并且对专业人才培养提出了更高、更全面的要求。针对财会税务类人才的需求情况，现将调研情况总结如下：</w:t>
      </w:r>
    </w:p>
    <w:p w14:paraId="30A893DE">
      <w:pPr>
        <w:keepNext w:val="0"/>
        <w:keepLines w:val="0"/>
        <w:pageBreakBefore w:val="0"/>
        <w:widowControl/>
        <w:kinsoku w:val="0"/>
        <w:wordWrap/>
        <w:overflowPunct/>
        <w:topLinePunct w:val="0"/>
        <w:autoSpaceDE w:val="0"/>
        <w:autoSpaceDN w:val="0"/>
        <w:bidi w:val="0"/>
        <w:adjustRightInd w:val="0"/>
        <w:snapToGrid w:val="0"/>
        <w:spacing w:line="400" w:lineRule="exact"/>
        <w:ind w:firstLine="480" w:firstLineChars="200"/>
        <w:textAlignment w:val="baseline"/>
        <w:rPr>
          <w:rFonts w:hint="eastAsia" w:ascii="黑体" w:hAnsi="宋体" w:eastAsia="黑体" w:cs="Arial"/>
          <w:snapToGrid w:val="0"/>
          <w:color w:val="000000"/>
          <w:kern w:val="16"/>
          <w:sz w:val="24"/>
          <w:szCs w:val="21"/>
          <w:lang w:val="en-US" w:eastAsia="zh-CN" w:bidi="ar-SA"/>
        </w:rPr>
      </w:pPr>
      <w:r>
        <w:rPr>
          <w:rFonts w:hint="eastAsia" w:ascii="黑体" w:hAnsi="宋体" w:eastAsia="黑体" w:cs="Arial"/>
          <w:snapToGrid w:val="0"/>
          <w:color w:val="000000"/>
          <w:kern w:val="16"/>
          <w:sz w:val="24"/>
          <w:szCs w:val="21"/>
          <w:lang w:val="en-US" w:eastAsia="zh-CN" w:bidi="ar-SA"/>
        </w:rPr>
        <w:t>一、调研背景</w:t>
      </w:r>
    </w:p>
    <w:p w14:paraId="020BB6DE">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1.数字经济发展推动</w:t>
      </w:r>
    </w:p>
    <w:p w14:paraId="06BF25A7">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在当今时代，数字经济已成为全球经济发展的新引擎。随着信息技术的飞速发展，数字经济在国民经济中的地位日益凸显。据相关数据显示，近年来我国数字经济规模持续扩大，占GDP的比重逐年上升，已成为经济增长的重要驱动力。</w:t>
      </w:r>
    </w:p>
    <w:p w14:paraId="2E8BDB7F">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数字经济的蓬勃发展，促使各行业加速数字化转型。在这一进程中，数据成为关键生产要素，各行业对大数据分析和处理的需求急剧增加。会计领域作为企业管理的重要组成部分，也面临着深刻变革。企业需要借助大数据技术，对海量的财务和业务数据进行分析，以支持决策制定、风险防控和价值创造。</w:t>
      </w:r>
    </w:p>
    <w:p w14:paraId="43247EC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例如，在金融行业，银行需要通过大数据分析评估客户信用风险，制定精准的信贷策略；在制造业，企业利用大数据优化成本核算和供应链管理；在零售行业，通过分析销售数据进行精准营销和库存管理。这些都表明，数字经济的发展催生了对既懂会计又掌握大数据技术的复合型人才的强烈需求。数字经济的增长与大数据与会计专业人才需求增长呈现出明显的正相关关系，随着数字经济规模的不断扩大，对这类专业人才的需求也将持续攀升。</w:t>
      </w:r>
    </w:p>
    <w:p w14:paraId="019A3734">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2</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会计行业数字化转型</w:t>
      </w:r>
    </w:p>
    <w:p w14:paraId="56F2499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会计行业正经历着从传统模式向数字化转型的深刻变革。传统的会计工作主要集中在账务处理、财务报表编制等基础核算层面，而如今，随着大数据、人工智能、区块链等新兴技术的应用，会计工作的内涵和外延都发生了重大变化。</w:t>
      </w:r>
    </w:p>
    <w:p w14:paraId="53319F8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在转型过程中，大数据技术的应用场景日益广泛。首先是财务数据分析，通过对海量财务数据的挖掘和分析，企业能够及时发现潜在的财务风险和业务问题，为决策提供有力支持。例如，通过分析历史财务数据，预测未来的资金流动情况，提前做好资金规划。</w:t>
      </w:r>
    </w:p>
    <w:p w14:paraId="7C7F677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其次是智能财务系统的应用，实现了财务流程的自动化和智能化。从发票识别、费用报销到凭证生成，都可以通过智能系统快速完成，大大提高了工作效率和准确性。此外，在预算管理、成本控制等方面，大数据技术也发挥着重要作用，帮助企业实现精细化管理。</w:t>
      </w:r>
    </w:p>
    <w:p w14:paraId="67C54D0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再者，区块链技术的应用为会计信息的真实性和安全性提供了保障，使得财务数据的记录和共享更加可靠。这些具体的应用场景表明，会计行业的数字化转型离不开大数据技术的支撑，也对会计人员的大数据技能提出了更高要求，推动了大数据与会计专业的发展。</w:t>
      </w:r>
    </w:p>
    <w:p w14:paraId="091D770D">
      <w:pPr>
        <w:keepNext w:val="0"/>
        <w:keepLines w:val="0"/>
        <w:pageBreakBefore w:val="0"/>
        <w:widowControl/>
        <w:kinsoku w:val="0"/>
        <w:wordWrap/>
        <w:overflowPunct/>
        <w:topLinePunct w:val="0"/>
        <w:autoSpaceDE w:val="0"/>
        <w:autoSpaceDN w:val="0"/>
        <w:bidi w:val="0"/>
        <w:adjustRightInd w:val="0"/>
        <w:snapToGrid w:val="0"/>
        <w:spacing w:line="400" w:lineRule="exact"/>
        <w:ind w:firstLine="480" w:firstLineChars="200"/>
        <w:textAlignment w:val="baseline"/>
        <w:rPr>
          <w:rFonts w:hint="eastAsia" w:ascii="黑体" w:hAnsi="宋体" w:eastAsia="黑体" w:cs="Arial"/>
          <w:snapToGrid w:val="0"/>
          <w:color w:val="000000"/>
          <w:kern w:val="16"/>
          <w:sz w:val="24"/>
          <w:szCs w:val="21"/>
          <w:lang w:val="en-US" w:eastAsia="zh-CN" w:bidi="ar-SA"/>
        </w:rPr>
      </w:pPr>
      <w:r>
        <w:rPr>
          <w:rFonts w:hint="eastAsia" w:ascii="黑体" w:hAnsi="宋体" w:eastAsia="黑体" w:cs="Arial"/>
          <w:snapToGrid w:val="0"/>
          <w:color w:val="000000"/>
          <w:kern w:val="16"/>
          <w:sz w:val="24"/>
          <w:szCs w:val="21"/>
          <w:lang w:val="en-US" w:eastAsia="zh-CN" w:bidi="ar-SA"/>
        </w:rPr>
        <w:t>二、山东省大数据与会计专业人才供需现状</w:t>
      </w:r>
    </w:p>
    <w:p w14:paraId="20D6982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1</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人才供给情况</w:t>
      </w:r>
    </w:p>
    <w:p w14:paraId="6E63AF54">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为了解山东省大数据与会计专业人才的供给情况，对省内开设该专业的高校进行了统计。以下是近三年山东省开设大数据与会计专业的高校数量相关数据：</w:t>
      </w:r>
    </w:p>
    <w:p w14:paraId="78A9A53B">
      <w:pPr>
        <w:pStyle w:val="5"/>
        <w:ind w:left="0" w:leftChars="0" w:firstLine="0" w:firstLineChars="0"/>
        <w:rPr>
          <w:rFonts w:hint="eastAsia" w:ascii="宋体" w:hAnsi="宋体" w:eastAsia="宋体" w:cs="宋体"/>
          <w:sz w:val="21"/>
          <w:szCs w:val="21"/>
          <w:lang w:eastAsia="zh-CN"/>
        </w:rPr>
      </w:pPr>
      <w:r>
        <w:rPr>
          <w:rFonts w:hint="eastAsia" w:ascii="仿宋_GB2312" w:hAnsi="仿宋_GB2312" w:eastAsia="仿宋_GB2312" w:cs="仿宋_GB2312"/>
          <w:i w:val="0"/>
          <w:iCs w:val="0"/>
          <w:caps w:val="0"/>
          <w:snapToGrid/>
          <w:color w:val="auto"/>
          <w:spacing w:val="0"/>
          <w:kern w:val="2"/>
          <w:sz w:val="32"/>
          <w:szCs w:val="32"/>
          <w:lang w:eastAsia="zh-CN"/>
        </w:rPr>
        <w:drawing>
          <wp:anchor distT="0" distB="0" distL="114300" distR="114300" simplePos="0" relativeHeight="251659264" behindDoc="0" locked="0" layoutInCell="1" allowOverlap="1">
            <wp:simplePos x="0" y="0"/>
            <wp:positionH relativeFrom="column">
              <wp:posOffset>220980</wp:posOffset>
            </wp:positionH>
            <wp:positionV relativeFrom="paragraph">
              <wp:posOffset>129540</wp:posOffset>
            </wp:positionV>
            <wp:extent cx="5256530" cy="2988310"/>
            <wp:effectExtent l="5080" t="4445" r="5715" b="7620"/>
            <wp:wrapNone/>
            <wp:docPr id="2" name="图表 2" descr="7b0a202020202263686172745265734964223a20223230343736333633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p w14:paraId="58E235D2">
      <w:pPr>
        <w:pStyle w:val="5"/>
        <w:rPr>
          <w:rFonts w:hint="eastAsia" w:ascii="宋体" w:hAnsi="宋体" w:eastAsia="宋体" w:cs="宋体"/>
          <w:sz w:val="21"/>
          <w:szCs w:val="21"/>
          <w:lang w:eastAsia="zh-CN"/>
        </w:rPr>
      </w:pPr>
    </w:p>
    <w:p w14:paraId="417634DB">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宋体" w:hAnsi="宋体" w:eastAsia="宋体" w:cs="宋体"/>
          <w:sz w:val="21"/>
          <w:szCs w:val="21"/>
          <w:lang w:eastAsia="zh-CN"/>
        </w:rPr>
      </w:pPr>
    </w:p>
    <w:p w14:paraId="517F8E1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p>
    <w:p w14:paraId="74082F8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p>
    <w:p w14:paraId="0D47FBD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p>
    <w:p w14:paraId="286BE038">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p>
    <w:p w14:paraId="07882A4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p>
    <w:p w14:paraId="79B50164">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p>
    <w:p w14:paraId="11920DB8">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p>
    <w:p w14:paraId="3328D39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p>
    <w:p w14:paraId="367FB07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p>
    <w:p w14:paraId="7EF6DB4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p>
    <w:p w14:paraId="46BAF82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从数据可以看出，开设大数据与会计专业的高校数量呈上升趋势。此外，招生规模也在逐步扩大，这表明省内高校对该专业人才的培养越来越重视。毕业生数量也随着招生规模的扩大而增加，反映出人才供给量在不断增长。然而，虽然供给量在上升，但从整体趋势来看，人才培养的增速可能无法完全满足市场快速增长的需求。同时，不同高校在专业培养质量和课程设置上存在差异，可能导致毕业生的专业水平参差不齐，这也在一定程度上影响了人才供给的质量。总体而言，山东省大数据与会计专业人才供给在数量上有增长趋势，但在质量和结构上仍有优化空间。</w:t>
      </w:r>
    </w:p>
    <w:p w14:paraId="1EFFE9B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2</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企业需求状况</w:t>
      </w:r>
    </w:p>
    <w:p w14:paraId="68BAD4D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通过对山东省不同规模、不同行业企业的调研，了解到企业对大数据与会计专业人才的需求情况。从需求数量来看，大型企业由于业务复杂、数据量庞大，对这类人才的需求相对较多，约占总需求的40%；中型企业需求占比30%；小型企业需求占比30%。</w:t>
      </w:r>
    </w:p>
    <w:p w14:paraId="1A87310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在行业分布方面，金融行业对大数据与会计专业人才需求最为迫切，占比达到35%，主要用于风险评估、财务分析等岗位；制造业需求占比25%，集中在成本控制、供应链财务等领域；服务业需求占比20%，如电商企业的财务数据分析岗位；其他行业需求占比20%。</w:t>
      </w:r>
    </w:p>
    <w:p w14:paraId="40B2FB70">
      <w:pPr>
        <w:pStyle w:val="5"/>
        <w:rPr>
          <w:rFonts w:hint="eastAsia" w:ascii="宋体" w:hAnsi="宋体" w:eastAsia="宋体" w:cs="宋体"/>
          <w:sz w:val="21"/>
          <w:szCs w:val="21"/>
          <w:lang w:eastAsia="zh-CN"/>
        </w:rPr>
      </w:pPr>
    </w:p>
    <w:p w14:paraId="47229B56">
      <w:pPr>
        <w:pStyle w:val="5"/>
        <w:rPr>
          <w:rFonts w:hint="eastAsia" w:ascii="宋体" w:hAnsi="宋体" w:eastAsia="宋体" w:cs="宋体"/>
          <w:sz w:val="21"/>
          <w:szCs w:val="21"/>
          <w:lang w:eastAsia="zh-CN"/>
        </w:rPr>
      </w:pPr>
      <w:r>
        <w:rPr>
          <w:rFonts w:hint="eastAsia" w:ascii="仿宋_GB2312" w:hAnsi="仿宋_GB2312" w:eastAsia="仿宋_GB2312" w:cs="仿宋_GB2312"/>
          <w:i w:val="0"/>
          <w:iCs w:val="0"/>
          <w:caps w:val="0"/>
          <w:snapToGrid/>
          <w:color w:val="auto"/>
          <w:spacing w:val="0"/>
          <w:kern w:val="2"/>
          <w:sz w:val="32"/>
          <w:szCs w:val="32"/>
          <w:lang w:eastAsia="zh-CN"/>
        </w:rPr>
        <w:drawing>
          <wp:inline distT="0" distB="0" distL="114300" distR="114300">
            <wp:extent cx="4466590" cy="2526665"/>
            <wp:effectExtent l="4445" t="4445" r="5715" b="1206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7E6BFC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岗位设置上，主要包括财务数据分析师、智能会计专员、财务风险管理师等。技能要求方面，企业普遍希望人才具备扎实的会计专业知识、熟练掌握大数据分析工具（如Python、SQL等），以及良好的数据分析和沟通能力。</w:t>
      </w:r>
    </w:p>
    <w:p w14:paraId="533E3AC1">
      <w:pPr>
        <w:pStyle w:val="5"/>
        <w:rPr>
          <w:rFonts w:hint="eastAsia" w:ascii="宋体" w:hAnsi="宋体" w:eastAsia="宋体" w:cs="宋体"/>
          <w:sz w:val="21"/>
          <w:szCs w:val="21"/>
          <w:lang w:eastAsia="zh-CN"/>
        </w:rPr>
      </w:pPr>
      <w:r>
        <w:rPr>
          <w:rFonts w:hint="eastAsia" w:ascii="仿宋_GB2312" w:hAnsi="仿宋_GB2312" w:eastAsia="仿宋_GB2312" w:cs="仿宋_GB2312"/>
          <w:i w:val="0"/>
          <w:iCs w:val="0"/>
          <w:caps w:val="0"/>
          <w:snapToGrid/>
          <w:color w:val="auto"/>
          <w:spacing w:val="0"/>
          <w:kern w:val="2"/>
          <w:sz w:val="32"/>
          <w:szCs w:val="32"/>
          <w:lang w:eastAsia="zh-CN"/>
        </w:rPr>
        <w:drawing>
          <wp:inline distT="0" distB="0" distL="114300" distR="114300">
            <wp:extent cx="4614545" cy="2850515"/>
            <wp:effectExtent l="4445" t="5080" r="10160" b="1143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BF184E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从以上图表中可以清晰地看到，不同规模和行业的企业对大数据与会计专业人才的需求存在差异，但总体呈现出对复合型人才的强烈渴望。大数据与会计专业的人才在当前就业市场中备受青睐，该专业毕业生可服务于多种类型的企业，主要包括：</w:t>
      </w:r>
    </w:p>
    <w:p w14:paraId="159C1B4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w:t>
      </w:r>
      <w:r>
        <w:rPr>
          <w:rFonts w:hint="eastAsia" w:ascii="宋体" w:hAnsi="宋体" w:eastAsia="宋体" w:cs="宋体"/>
          <w:sz w:val="21"/>
          <w:szCs w:val="21"/>
          <w:lang w:eastAsia="zh-CN"/>
        </w:rPr>
        <w:t>）会计师事务所</w:t>
      </w:r>
    </w:p>
    <w:p w14:paraId="7B9234E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这是大数据与会计专业毕业生的传统就业方向。会计师事务所汇聚了大量的会计和财务专业人士，毕业生在这里可以接触到各种类型的审计、税务、财务咨询等业务，有助于积累实践经验，并为未来的职业发展打下坚实的基础。同时，会计师事务所通常也提供更多的培训和晋升机会。</w:t>
      </w:r>
    </w:p>
    <w:p w14:paraId="58EE0804">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）金融机构</w:t>
      </w:r>
    </w:p>
    <w:p w14:paraId="3F8EF1CE">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银行、证券公司、基金公司、保险公司等金融机构对大数据与会计专业人才有着巨大的需求。这些机构在风险控制、资产管理、投资分析等方面都需要专业的会计知识，数据分析师主要负责风险评估、市场分析和信用评分等工作。</w:t>
      </w:r>
    </w:p>
    <w:p w14:paraId="43EB0C06">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）企事业单位</w:t>
      </w:r>
    </w:p>
    <w:p w14:paraId="639B6F5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包括国有企业、上市公司、民营企业等在内的企事业单位，在发展过程中都需要专业的会计人才来管理公司的财务工作。无论是大型企业还是中小型企业，其财务部门都需要会计专业人员来负责财务预算、成本控制、资金管理等工作。</w:t>
      </w:r>
    </w:p>
    <w:p w14:paraId="06813A2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w:t>
      </w:r>
      <w:r>
        <w:rPr>
          <w:rFonts w:hint="eastAsia" w:ascii="宋体" w:hAnsi="宋体" w:eastAsia="宋体" w:cs="宋体"/>
          <w:sz w:val="21"/>
          <w:szCs w:val="21"/>
          <w:lang w:eastAsia="zh-CN"/>
        </w:rPr>
        <w:t>）互联网公司</w:t>
      </w:r>
    </w:p>
    <w:p w14:paraId="6829EC5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如</w:t>
      </w:r>
      <w:r>
        <w:rPr>
          <w:rFonts w:hint="eastAsia" w:ascii="宋体" w:hAnsi="宋体" w:eastAsia="宋体" w:cs="宋体"/>
          <w:sz w:val="21"/>
          <w:szCs w:val="21"/>
          <w:lang w:eastAsia="zh-CN"/>
        </w:rPr>
        <w:t>互联网公司如百度、阿里巴巴、腾讯等，通常需要大量的数据分析师来处理用户行为分析、推荐系统优化和广告投放优化等工作。在这些公司，数据分析的核心任务之一是通过分析用户数据来提升用户体验。</w:t>
      </w:r>
    </w:p>
    <w:p w14:paraId="35EBE59E">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）咨询公司</w:t>
      </w:r>
    </w:p>
    <w:p w14:paraId="2BFF6EA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例</w:t>
      </w:r>
      <w:r>
        <w:rPr>
          <w:rFonts w:hint="eastAsia" w:ascii="宋体" w:hAnsi="宋体" w:eastAsia="宋体" w:cs="宋体"/>
          <w:sz w:val="21"/>
          <w:szCs w:val="21"/>
          <w:lang w:eastAsia="zh-CN"/>
        </w:rPr>
        <w:t>麦肯锡、波士顿咨询集团（BCG）、德勤等咨询公司，以及专注于财务咨询的公司，对数据分析人才的需求也相当大。这些公司通常涉及企业战略、市场研究、风险管理等领域，需要分析师提供数据驱动的决策支持，帮助客户制定高效的商业战略。</w:t>
      </w:r>
    </w:p>
    <w:p w14:paraId="3FD8DA1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6</w:t>
      </w:r>
      <w:r>
        <w:rPr>
          <w:rFonts w:hint="eastAsia" w:ascii="宋体" w:hAnsi="宋体" w:eastAsia="宋体" w:cs="宋体"/>
          <w:sz w:val="21"/>
          <w:szCs w:val="21"/>
          <w:lang w:eastAsia="zh-CN"/>
        </w:rPr>
        <w:t>）其他类型企业</w:t>
      </w:r>
    </w:p>
    <w:p w14:paraId="50C8406E">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lang w:eastAsia="zh-CN"/>
        </w:rPr>
      </w:pPr>
      <w:r>
        <w:rPr>
          <w:rFonts w:hint="eastAsia" w:ascii="宋体" w:hAnsi="宋体" w:eastAsia="宋体" w:cs="宋体"/>
          <w:sz w:val="21"/>
          <w:szCs w:val="21"/>
          <w:lang w:eastAsia="zh-CN"/>
        </w:rPr>
        <w:t>大数据与会计专业毕业生还可以在科研单位、高等院校等从事与会计、数据分析相关的教学、科研工作。</w:t>
      </w:r>
    </w:p>
    <w:p w14:paraId="3CBD50D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3</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供需匹配分析</w:t>
      </w:r>
    </w:p>
    <w:p w14:paraId="495DA04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对比人才供给与企业需求，发现存在一些差距和矛盾点。在专业技能方面，虽然高校培养的大数据与会计专业学生具备一定的会计和大数据基础知识，但与企业实际需求的技能存在脱节。企业需要的是能够熟练运用大数据工具解决实际财务问题的人才，而部分毕业生在大数据分析工具的应用上不够熟练，无法满足企业对数据深度挖掘和分析的要求。</w:t>
      </w:r>
    </w:p>
    <w:p w14:paraId="1C49113F">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实践能力方面，高校教学往往侧重于理论知识传授，实践教学相对不足。毕业生缺乏实际项目经验，面对企业复杂的财务数据和业务场景，难以快速上手并提供有效的解决方案。这导致企业在招聘后需要花费大量时间和成本对新员工进行培训，以提升其实际工作能力。</w:t>
      </w:r>
    </w:p>
    <w:p w14:paraId="118CA7E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此外，企业对人才的综合素质要求较高，如沟通协作能力、创新能力等，而高校在人才培养过程中对这些方面的重视程度不够。供需之间的这些差距和矛盾点，需要高校在专业建设和人才培养过程中加以重视和改进，以更好地满足企业需求，提高人才培养与市场需求的匹配度。</w:t>
      </w:r>
    </w:p>
    <w:p w14:paraId="38311FFA">
      <w:pPr>
        <w:keepNext w:val="0"/>
        <w:keepLines w:val="0"/>
        <w:pageBreakBefore w:val="0"/>
        <w:widowControl/>
        <w:kinsoku w:val="0"/>
        <w:wordWrap/>
        <w:overflowPunct/>
        <w:topLinePunct w:val="0"/>
        <w:autoSpaceDE w:val="0"/>
        <w:autoSpaceDN w:val="0"/>
        <w:bidi w:val="0"/>
        <w:adjustRightInd w:val="0"/>
        <w:snapToGrid w:val="0"/>
        <w:spacing w:line="400" w:lineRule="exact"/>
        <w:ind w:firstLine="480" w:firstLineChars="200"/>
        <w:textAlignment w:val="baseline"/>
        <w:rPr>
          <w:rFonts w:hint="eastAsia" w:ascii="宋体" w:hAnsi="宋体" w:eastAsia="宋体" w:cs="宋体"/>
          <w:sz w:val="21"/>
          <w:szCs w:val="21"/>
          <w:lang w:eastAsia="zh-CN"/>
        </w:rPr>
      </w:pPr>
      <w:r>
        <w:rPr>
          <w:rFonts w:hint="eastAsia" w:ascii="黑体" w:hAnsi="宋体" w:eastAsia="黑体" w:cs="Arial"/>
          <w:snapToGrid w:val="0"/>
          <w:color w:val="000000"/>
          <w:kern w:val="16"/>
          <w:sz w:val="24"/>
          <w:szCs w:val="21"/>
          <w:lang w:val="en-US" w:eastAsia="zh-CN" w:bidi="ar-SA"/>
        </w:rPr>
        <w:t>三、大数据与会计专业岗位及能力要求</w:t>
      </w:r>
    </w:p>
    <w:p w14:paraId="0850059F">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1</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主要就业岗位</w:t>
      </w:r>
    </w:p>
    <w:p w14:paraId="27367B8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大数据与会计专业的毕业生就业前景广阔，可在多个领域从事相关工作。</w:t>
      </w:r>
    </w:p>
    <w:p w14:paraId="3AE9D5D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财务数据分析师负责收集、整理和分析企业的财务数据，通过对历史数据的深度挖掘，为企业提供财务状况评估、预算规划以及成本控制等方面的决策支持。例如，通过分析销售数据与成本数据之间的关联，找出利润增长点，助力企业制定更合理的经营策略。</w:t>
      </w:r>
    </w:p>
    <w:p w14:paraId="4A8CB45E">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智能会计专员主要运用智能化财务系统，实现财务流程的自动化处理。从发票的智能识别、费用报销流程的自动化审批，到记账凭证的自动生成，确保财务数据处理的高效与准确。同时，需要监控智能系统的运行，及时处理异常情况，保障财务工作的顺利进行。</w:t>
      </w:r>
    </w:p>
    <w:p w14:paraId="2ACD78F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财务风险管理师专注于识别、评估和应对企业面临的各类财务风险。通过建立风险预警模型，对市场波动、信用风险等进行实时监测，提前制定风险应对策略，降低企业因风险事件带来的损失，维护企业财务稳定。</w:t>
      </w:r>
    </w:p>
    <w:p w14:paraId="0DC1CB84">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这些岗位在企业财务管理中发挥着关键作用，为企业的数字化转型和可持续发展提供有力支持。</w:t>
      </w:r>
    </w:p>
    <w:p w14:paraId="76FD684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2</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岗位能力需求</w:t>
      </w:r>
    </w:p>
    <w:p w14:paraId="05485B6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财务数据分析师：精通财务报表分析、成本会计、管理会计等会计专业知识，掌握数据挖掘、统计学等大数据相关知识；熟练运用Python、SQL等大数据分析工具，能够使用数据可视化工具（如Tableau、PowerBI）展示分析结果；具备较强的逻辑思维能力、数据分析能力和问题解决能力，能够从复杂数据中提取有价值信息，并有效沟通分析结果</w:t>
      </w:r>
    </w:p>
    <w:p w14:paraId="58F8B81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智能会计专员</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扎实掌握基础会计、财务会计、税务会计等专业知识，了解智能化财务系统的架构和原理；熟练操作智能财务软件，具备一定的系统维护和故障排除能力，掌握RPA财务流程自动化技术；工作细致、严谨，具备较强的责任心和执行力，能够快速适应新技术和新流程</w:t>
      </w:r>
    </w:p>
    <w:p w14:paraId="39EC5EE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财务风险管理师：深入理解财务风险管理理论、金融市场知识、内部控制等专业知识，熟悉相关法律法规；能够运用风险评估模型和工具进行风险量化分析，具备良好的风险预警和应对策略制定能力；具备敏锐的风险洞察力、决策能力和抗压能力，能够在复杂多变的市场环境中准确判断风险并果断采取措施。通过以上对比可以看出，不同岗位对专业知识、技能和素质的要求各有侧重，但都强调大数据技术与会计专业知识的融合，以及综合能力的培养。</w:t>
      </w:r>
    </w:p>
    <w:p w14:paraId="2DB87B3C">
      <w:pPr>
        <w:keepNext w:val="0"/>
        <w:keepLines w:val="0"/>
        <w:pageBreakBefore w:val="0"/>
        <w:widowControl/>
        <w:kinsoku w:val="0"/>
        <w:wordWrap/>
        <w:overflowPunct/>
        <w:topLinePunct w:val="0"/>
        <w:autoSpaceDE w:val="0"/>
        <w:autoSpaceDN w:val="0"/>
        <w:bidi w:val="0"/>
        <w:adjustRightInd w:val="0"/>
        <w:snapToGrid w:val="0"/>
        <w:spacing w:line="400" w:lineRule="exact"/>
        <w:ind w:firstLine="480" w:firstLineChars="200"/>
        <w:textAlignment w:val="baseline"/>
        <w:rPr>
          <w:rFonts w:hint="default" w:ascii="黑体" w:hAnsi="宋体" w:eastAsia="黑体" w:cs="Arial"/>
          <w:snapToGrid w:val="0"/>
          <w:color w:val="000000"/>
          <w:kern w:val="16"/>
          <w:sz w:val="24"/>
          <w:szCs w:val="21"/>
          <w:lang w:val="en-US" w:eastAsia="zh-CN" w:bidi="ar-SA"/>
        </w:rPr>
      </w:pPr>
      <w:r>
        <w:rPr>
          <w:rFonts w:hint="eastAsia" w:ascii="黑体" w:hAnsi="宋体" w:eastAsia="黑体" w:cs="Arial"/>
          <w:snapToGrid w:val="0"/>
          <w:color w:val="000000"/>
          <w:kern w:val="16"/>
          <w:sz w:val="24"/>
          <w:szCs w:val="21"/>
          <w:lang w:val="en-US" w:eastAsia="zh-CN" w:bidi="ar-SA"/>
        </w:rPr>
        <w:t>四、企业对大数据与会计专业人才培养需求</w:t>
      </w:r>
    </w:p>
    <w:p w14:paraId="759971B6">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1.专业知识</w:t>
      </w:r>
    </w:p>
    <w:p w14:paraId="2B714DA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企业期望大数据与会计专业人才拥有全面且深入的专业知识体系。在会计领域，财务报表分析能力不可或缺，人才需精准解读各类财务报表，洞察企业财务状况、经营成果及现金流量，为企业决策提供有力依据。成本会计与管理会计知识也至关重要，能够帮助企业进行成本核算、预算编制与控制，实现资源的优化配置。</w:t>
      </w:r>
    </w:p>
    <w:p w14:paraId="34216CD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大数据方面，数据挖掘知识能使人才从海量财务与业务数据中发现潜在模式和规律，挖掘有价值信息。机器学习基础同样关键，借助机器学习算法可构建财务预测模型、风险评估模型等，提升数据分析的准确性和前瞻性。此外，数据库管理知识，如 SQL 语言的熟练运用，能确保人才高效存储、检索和管理数据。掌握这些专业知识，人才方能在复杂多变的商业环境中，运用大数据与会计专业知识，为企业创造价值，助力企业实现数字化转型与可持续发展。</w:t>
      </w:r>
    </w:p>
    <w:p w14:paraId="55E24693">
      <w:pPr>
        <w:keepNext w:val="0"/>
        <w:keepLines w:val="0"/>
        <w:pageBreakBefore w:val="0"/>
        <w:widowControl/>
        <w:numPr>
          <w:numId w:val="0"/>
        </w:numPr>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实践能力</w:t>
      </w:r>
    </w:p>
    <w:p w14:paraId="38145BD9">
      <w:pPr>
        <w:keepNext w:val="0"/>
        <w:keepLines w:val="0"/>
        <w:pageBreakBefore w:val="0"/>
        <w:widowControl/>
        <w:numPr>
          <w:numId w:val="0"/>
        </w:numPr>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企业高度重视大数据与会计专业人才的实践操作能力。数据处理能力是基础，人才需能够快速收集、清理和整合财务与业务数据，将繁杂无序的数据转化为可分析的格式。例如，面对企业不同部门提供的各类数据，能迅速梳理并统一格式，为后续分析做准备。</w:t>
      </w:r>
    </w:p>
    <w:p w14:paraId="707AA02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财务决策支持能力也十分关键，通过对数据的深入分析，为企业投资、融资、利润分配等决策提供专业建议。某企业在考虑新的投资项目时，财务人员运用大数据分析市场趋势、成本收益等因素，为项目可行性提供准确评估，助力企业做出正确决策。</w:t>
      </w:r>
    </w:p>
    <w:p w14:paraId="268A010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解决实际问题的能力更是企业所看重的。在实际工作中，会面临各种突发财务问题和数据异常情况，具备实践能力的人才能够迅速定位问题根源，并提出有效的解决方案。如企业财务系统出现数据错误，实践能力强的人员能快速排查原因，修复数据，保障财务工作正常运转。实践能力直接关系到人才能否在企业中发挥实际作用，为企业创造价值，因此企业在招聘时对实践能力的考察尤为重视。</w:t>
      </w:r>
    </w:p>
    <w:p w14:paraId="44CA51F4">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3.职业素养</w:t>
      </w:r>
    </w:p>
    <w:p w14:paraId="67C753C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企业对大数据与会计专业人才的职业素养有着明确要求。责任心是首要的，财务工作涉及企业核心数据和资金安全，容不得半点马虎。人才需对工作高度负责，确保财务数据准确无误，财务流程合规合法。例如，在财务报表编制过程中，严谨对待每一个数据，保证报表真实反映企业财务状况。</w:t>
      </w:r>
    </w:p>
    <w:p w14:paraId="104BB0B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团队合作精神也不可或缺，大数据与会计工作往往需要与多个部门协作。财务人员需与业务部门沟通获取数据，与技术部门合作优化财务系统。具备团队合作精神，才能有效协调各方资源，共同完成工作任务。</w:t>
      </w:r>
    </w:p>
    <w:p w14:paraId="4E4ED8C7">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学习能力同样重要，大数据与会计领域知识和技术不断更新，人才需保持学习热情，及时掌握新的会计准则、大数据分析方法等。如随着新的财务法规出台，能够迅速学习并应用到实际工作中，确保企业财务工作符合法规要求。良好的职业素养是人才在企业中立足和发展的重要保障。</w:t>
      </w:r>
    </w:p>
    <w:p w14:paraId="62086782">
      <w:pPr>
        <w:keepNext w:val="0"/>
        <w:keepLines w:val="0"/>
        <w:pageBreakBefore w:val="0"/>
        <w:widowControl/>
        <w:kinsoku w:val="0"/>
        <w:wordWrap/>
        <w:overflowPunct/>
        <w:topLinePunct w:val="0"/>
        <w:autoSpaceDE w:val="0"/>
        <w:autoSpaceDN w:val="0"/>
        <w:bidi w:val="0"/>
        <w:adjustRightInd w:val="0"/>
        <w:snapToGrid w:val="0"/>
        <w:spacing w:line="400" w:lineRule="exact"/>
        <w:ind w:firstLine="480" w:firstLineChars="200"/>
        <w:textAlignment w:val="baseline"/>
        <w:rPr>
          <w:rFonts w:hint="eastAsia" w:ascii="宋体" w:hAnsi="宋体" w:eastAsia="宋体" w:cs="宋体"/>
          <w:sz w:val="21"/>
          <w:szCs w:val="21"/>
          <w:lang w:eastAsia="zh-CN"/>
        </w:rPr>
      </w:pPr>
      <w:r>
        <w:rPr>
          <w:rFonts w:hint="eastAsia" w:ascii="黑体" w:hAnsi="宋体" w:eastAsia="黑体" w:cs="Arial"/>
          <w:snapToGrid w:val="0"/>
          <w:color w:val="000000"/>
          <w:kern w:val="16"/>
          <w:sz w:val="24"/>
          <w:szCs w:val="21"/>
          <w:lang w:val="en-US" w:eastAsia="zh-CN" w:bidi="ar-SA"/>
        </w:rPr>
        <w:t>五、院校专业分布及人才培养规模</w:t>
      </w:r>
    </w:p>
    <w:p w14:paraId="5F01600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通过研究山东省地区财税大数据应用相关专业建设情况发现，山东省地区共有</w:t>
      </w:r>
      <w:r>
        <w:rPr>
          <w:rFonts w:hint="eastAsia" w:ascii="宋体" w:hAnsi="宋体" w:eastAsia="宋体" w:cs="宋体"/>
          <w:sz w:val="21"/>
          <w:szCs w:val="21"/>
          <w:lang w:val="en-US" w:eastAsia="zh-CN"/>
        </w:rPr>
        <w:t>88</w:t>
      </w:r>
      <w:r>
        <w:rPr>
          <w:rFonts w:hint="eastAsia" w:ascii="宋体" w:hAnsi="宋体" w:eastAsia="宋体" w:cs="宋体"/>
          <w:sz w:val="21"/>
          <w:szCs w:val="21"/>
          <w:lang w:eastAsia="zh-CN"/>
        </w:rPr>
        <w:t>所高校设立了“大数据与会计”专业，其中济南市</w:t>
      </w:r>
      <w:r>
        <w:rPr>
          <w:rFonts w:hint="eastAsia" w:ascii="宋体" w:hAnsi="宋体" w:eastAsia="宋体" w:cs="宋体"/>
          <w:sz w:val="21"/>
          <w:szCs w:val="21"/>
          <w:lang w:val="en-US" w:eastAsia="zh-CN"/>
        </w:rPr>
        <w:t>9所，青岛市10所，烟台市、潍坊市6所，泰安市5所</w:t>
      </w:r>
      <w:r>
        <w:rPr>
          <w:rFonts w:hint="eastAsia" w:ascii="宋体" w:hAnsi="宋体" w:eastAsia="宋体" w:cs="宋体"/>
          <w:sz w:val="21"/>
          <w:szCs w:val="21"/>
          <w:lang w:eastAsia="zh-CN"/>
        </w:rPr>
        <w:t>。在人才供需现状上，供给虽有增长，但在质量和结构上与企业需求存在差距，因此设置大数据与会计专业符合经济社会发展的需求。</w:t>
      </w:r>
    </w:p>
    <w:p w14:paraId="502832E1">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9D2CCD"/>
    <w:rsid w:val="21BA3E3C"/>
    <w:rsid w:val="3BFA4391"/>
    <w:rsid w:val="539D2CCD"/>
    <w:rsid w:val="54CB31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5">
    <w:name w:val="首行缩进"/>
    <w:basedOn w:val="1"/>
    <w:autoRedefine/>
    <w:qFormat/>
    <w:uiPriority w:val="0"/>
    <w:pPr>
      <w:ind w:firstLine="480" w:firstLineChars="200"/>
    </w:pPr>
    <w:rPr>
      <w:rFonts w:asciiTheme="minorHAnsi" w:hAnsiTheme="minorHAnsi" w:eastAsiaTheme="minorEastAsia" w:cstheme="minorBidi"/>
      <w:szCs w:val="24"/>
      <w:lang w:val="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3.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4" Type="http://schemas.microsoft.com/office/2011/relationships/chartColorStyle" Target="colors3.xml"/><Relationship Id="rId3" Type="http://schemas.microsoft.com/office/2011/relationships/chartStyle" Target="style3.xml"/><Relationship Id="rId2" Type="http://schemas.openxmlformats.org/officeDocument/2006/relationships/themeOverride" Target="../theme/themeOverride1.xml"/><Relationship Id="rId1" Type="http://schemas.openxmlformats.org/officeDocument/2006/relationships/package" Target="../embeddings/Workbook3.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3.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forceAA="0"/>
          <a:lstStyle/>
          <a:p>
            <a:pPr defTabSz="914400">
              <a:defRPr lang="zh-CN" sz="1050" b="0" i="0" u="none" strike="noStrike" kern="1200" baseline="0">
                <a:solidFill>
                  <a:schemeClr val="tx1">
                    <a:lumMod val="75000"/>
                    <a:lumOff val="25000"/>
                  </a:schemeClr>
                </a:solidFill>
                <a:latin typeface="宋体" panose="02010600030101010101" charset="-122"/>
                <a:ea typeface="宋体" panose="02010600030101010101" charset="-122"/>
                <a:cs typeface="宋体" panose="02010600030101010101" charset="-122"/>
                <a:sym typeface="宋体" panose="02010600030101010101" charset="-122"/>
              </a:defRPr>
            </a:pPr>
            <a:r>
              <a:rPr sz="1050">
                <a:latin typeface="宋体" panose="02010600030101010101" charset="-122"/>
                <a:ea typeface="宋体" panose="02010600030101010101" charset="-122"/>
                <a:cs typeface="宋体" panose="02010600030101010101" charset="-122"/>
                <a:sym typeface="宋体" panose="02010600030101010101" charset="-122"/>
              </a:rPr>
              <a:t>近三年山东省开设大数据与会计专业高校数量</a:t>
            </a:r>
            <a:endParaRPr sz="1050">
              <a:latin typeface="宋体" panose="02010600030101010101" charset="-122"/>
              <a:ea typeface="宋体" panose="02010600030101010101" charset="-122"/>
              <a:cs typeface="宋体" panose="02010600030101010101" charset="-122"/>
              <a:sym typeface="宋体" panose="02010600030101010101" charset="-122"/>
            </a:endParaRPr>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开设数量</c:v>
                </c:pt>
              </c:strCache>
            </c:strRef>
          </c:tx>
          <c:spPr>
            <a:solidFill>
              <a:schemeClr val="accent1">
                <a:hueOff val="0"/>
                <a:alpha val="70000"/>
              </a:schemeClr>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050" b="0" i="0" u="none" strike="noStrike" kern="1200" baseline="0">
                    <a:solidFill>
                      <a:schemeClr val="tx1">
                        <a:lumMod val="75000"/>
                        <a:lumOff val="25000"/>
                      </a:schemeClr>
                    </a:solidFill>
                    <a:latin typeface="宋体" panose="02010600030101010101" charset="-122"/>
                    <a:ea typeface="宋体" panose="02010600030101010101" charset="-122"/>
                    <a:cs typeface="宋体" panose="02010600030101010101" charset="-122"/>
                    <a:sym typeface="宋体" panose="02010600030101010101" charset="-122"/>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2022年</c:v>
                </c:pt>
                <c:pt idx="1">
                  <c:v>2023年</c:v>
                </c:pt>
                <c:pt idx="2">
                  <c:v>2024年</c:v>
                </c:pt>
              </c:strCache>
            </c:strRef>
          </c:cat>
          <c:val>
            <c:numRef>
              <c:f>Sheet1!$B$2:$B$4</c:f>
              <c:numCache>
                <c:formatCode>General</c:formatCode>
                <c:ptCount val="3"/>
                <c:pt idx="0">
                  <c:v>84</c:v>
                </c:pt>
                <c:pt idx="1">
                  <c:v>86</c:v>
                </c:pt>
                <c:pt idx="2">
                  <c:v>88</c:v>
                </c:pt>
              </c:numCache>
            </c:numRef>
          </c:val>
        </c:ser>
        <c:dLbls>
          <c:showLegendKey val="0"/>
          <c:showVal val="1"/>
          <c:showCatName val="0"/>
          <c:showSerName val="0"/>
          <c:showPercent val="0"/>
          <c:showBubbleSize val="0"/>
        </c:dLbls>
        <c:gapWidth val="130"/>
        <c:overlap val="30"/>
        <c:axId val="330996677"/>
        <c:axId val="761325619"/>
      </c:barChart>
      <c:catAx>
        <c:axId val="330996677"/>
        <c:scaling>
          <c:orientation val="minMax"/>
        </c:scaling>
        <c:delete val="0"/>
        <c:axPos val="b"/>
        <c:numFmt formatCode="General" sourceLinked="1"/>
        <c:majorTickMark val="out"/>
        <c:minorTickMark val="none"/>
        <c:tickLblPos val="nextTo"/>
        <c:spPr>
          <a:noFill/>
          <a:ln w="6350" cap="flat" cmpd="sng" algn="ctr">
            <a:solidFill>
              <a:schemeClr val="tx1">
                <a:lumMod val="50000"/>
                <a:lumOff val="50000"/>
                <a:alpha val="25000"/>
              </a:schemeClr>
            </a:solidFill>
            <a:round/>
          </a:ln>
          <a:effectLst/>
        </c:spPr>
        <c:txPr>
          <a:bodyPr rot="-60000000" spcFirstLastPara="0" vertOverflow="ellipsis" vert="horz" wrap="square" anchor="ctr" anchorCtr="1" forceAA="0"/>
          <a:lstStyle/>
          <a:p>
            <a:pPr>
              <a:defRPr lang="zh-CN" sz="1050" b="0" i="0" u="none" strike="noStrike" kern="1200" baseline="0">
                <a:solidFill>
                  <a:schemeClr val="tx1">
                    <a:lumMod val="65000"/>
                    <a:lumOff val="35000"/>
                  </a:schemeClr>
                </a:solidFill>
                <a:latin typeface="宋体" panose="02010600030101010101" charset="-122"/>
                <a:ea typeface="宋体" panose="02010600030101010101" charset="-122"/>
                <a:cs typeface="宋体" panose="02010600030101010101" charset="-122"/>
                <a:sym typeface="宋体" panose="02010600030101010101" charset="-122"/>
              </a:defRPr>
            </a:pPr>
          </a:p>
        </c:txPr>
        <c:crossAx val="761325619"/>
        <c:crosses val="autoZero"/>
        <c:auto val="1"/>
        <c:lblAlgn val="ctr"/>
        <c:lblOffset val="100"/>
        <c:noMultiLvlLbl val="0"/>
      </c:catAx>
      <c:valAx>
        <c:axId val="761325619"/>
        <c:scaling>
          <c:orientation val="minMax"/>
        </c:scaling>
        <c:delete val="1"/>
        <c:axPos val="l"/>
        <c:numFmt formatCode="General" sourceLinked="1"/>
        <c:majorTickMark val="out"/>
        <c:minorTickMark val="none"/>
        <c:tickLblPos val="nextTo"/>
        <c:txPr>
          <a:bodyPr rot="-60000000" spcFirstLastPara="0" vertOverflow="ellipsis" vert="horz" wrap="square" anchor="ctr" anchorCtr="1" forceAA="0"/>
          <a:lstStyle/>
          <a:p>
            <a:pPr>
              <a:defRPr lang="zh-CN" sz="1050" b="0" i="0" u="none" strike="noStrike" kern="1200" baseline="0">
                <a:solidFill>
                  <a:schemeClr val="tx1">
                    <a:lumMod val="65000"/>
                    <a:lumOff val="35000"/>
                  </a:schemeClr>
                </a:solidFill>
                <a:latin typeface="宋体" panose="02010600030101010101" charset="-122"/>
                <a:ea typeface="宋体" panose="02010600030101010101" charset="-122"/>
                <a:cs typeface="宋体" panose="02010600030101010101" charset="-122"/>
                <a:sym typeface="宋体" panose="02010600030101010101" charset="-122"/>
              </a:defRPr>
            </a:pPr>
          </a:p>
        </c:txPr>
        <c:crossAx val="330996677"/>
        <c:crosses val="autoZero"/>
        <c:crossBetween val="between"/>
      </c:valAx>
      <c:spPr>
        <a:noFill/>
        <a:ln>
          <a:noFill/>
        </a:ln>
        <a:effectLst/>
      </c:spPr>
    </c:plotArea>
    <c:plotVisOnly val="1"/>
    <c:dispBlanksAs val="gap"/>
    <c:showDLblsOverMax val="0"/>
    <c:extLst>
      <c:ext uri="{0b15fc19-7d7d-44ad-8c2d-2c3a37ce22c3}">
        <chartProps xmlns="https://web.wps.cn/et/2018/main" chartId="{d8c0d072-50c6-461e-a92c-9cf98914a682}"/>
      </c:ext>
    </c:extLst>
  </c:chart>
  <c:spPr>
    <a:solidFill>
      <a:schemeClr val="bg1"/>
    </a:solidFill>
    <a:ln w="6350" cap="flat" cmpd="sng" algn="ctr">
      <a:solidFill>
        <a:schemeClr val="tx1">
          <a:lumMod val="50000"/>
          <a:lumOff val="50000"/>
          <a:alpha val="25000"/>
        </a:schemeClr>
      </a:solidFill>
      <a:round/>
    </a:ln>
    <a:effectLst/>
  </c:spPr>
  <c:txPr>
    <a:bodyPr/>
    <a:lstStyle/>
    <a:p>
      <a:pPr>
        <a:defRPr lang="zh-CN" sz="1050">
          <a:latin typeface="宋体" panose="02010600030101010101" charset="-122"/>
          <a:ea typeface="宋体" panose="02010600030101010101" charset="-122"/>
          <a:cs typeface="宋体" panose="02010600030101010101" charset="-122"/>
          <a:sym typeface="宋体" panose="02010600030101010101" charset="-122"/>
        </a:defRPr>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050" b="1" i="0" u="none" strike="noStrike" kern="1200" baseline="0">
              <a:solidFill>
                <a:schemeClr val="tx1">
                  <a:lumMod val="75000"/>
                  <a:lumOff val="25000"/>
                </a:schemeClr>
              </a:solidFill>
              <a:latin typeface="+mn-lt"/>
              <a:ea typeface="+mn-ea"/>
              <a:cs typeface="+mn-cs"/>
            </a:defRPr>
          </a:pPr>
        </a:p>
      </c:txPr>
    </c:title>
    <c:autoTitleDeleted val="0"/>
    <c:view3D>
      <c:rotX val="30"/>
      <c:rotY val="0"/>
      <c:depthPercent val="100"/>
      <c:rAngAx val="0"/>
    </c:view3D>
    <c:floor>
      <c:thickness val="0"/>
      <c:spPr>
        <a:noFill/>
        <a:effectLst/>
      </c:spPr>
    </c:floor>
    <c:sideWall>
      <c:thickness val="0"/>
      <c:spPr>
        <a:noFill/>
        <a:effectLst/>
      </c:spPr>
    </c:sideWall>
    <c:backWall>
      <c:thickness val="0"/>
      <c:spPr>
        <a:noFill/>
        <a:effectLst/>
      </c:spPr>
    </c:backWall>
    <c:plotArea>
      <c:layout/>
      <c:pie3DChart>
        <c:varyColors val="1"/>
        <c:ser>
          <c:idx val="0"/>
          <c:order val="0"/>
          <c:tx>
            <c:strRef>
              <c:f>Sheet1!$B$1</c:f>
              <c:strCache>
                <c:ptCount val="1"/>
                <c:pt idx="0">
                  <c:v>比例</c:v>
                </c:pt>
              </c:strCache>
            </c:strRef>
          </c:tx>
          <c:spPr>
            <a:scene3d>
              <a:camera prst="orthographicFront"/>
              <a:lightRig rig="threePt" dir="t"/>
            </a:scene3d>
            <a:sp3d contourW="9525"/>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Lbls>
            <c:dLbl>
              <c:idx val="0"/>
              <c:layout/>
              <c:numFmt formatCode="General" sourceLinked="1"/>
              <c:spPr>
                <a:noFill/>
                <a:ln>
                  <a:noFill/>
                </a:ln>
                <a:effectLst/>
              </c:spPr>
              <c:txPr>
                <a:bodyPr rot="0" spcFirstLastPara="0" vertOverflow="ellipsis" vert="horz" wrap="square" lIns="38100" tIns="19050" rIns="38100" bIns="19050" anchor="ctr" anchorCtr="1"/>
                <a:lstStyle/>
                <a:p>
                  <a:pPr>
                    <a:defRPr lang="zh-CN" sz="1050" b="1" i="0" u="none" strike="noStrike" kern="1200" spc="0" baseline="0">
                      <a:solidFill>
                        <a:schemeClr val="accent1"/>
                      </a:solidFill>
                      <a:latin typeface="+mn-lt"/>
                      <a:ea typeface="+mn-ea"/>
                      <a:cs typeface="+mn-cs"/>
                    </a:defRPr>
                  </a:pPr>
                </a:p>
              </c:txPr>
              <c:dLblPos val="outEnd"/>
              <c:showLegendKey val="0"/>
              <c:showVal val="0"/>
              <c:showCatName val="1"/>
              <c:showSerName val="0"/>
              <c:showPercent val="1"/>
              <c:showBubbleSize val="0"/>
              <c:separator>
</c:separator>
              <c:extLst>
                <c:ext xmlns:c15="http://schemas.microsoft.com/office/drawing/2012/chart" uri="{CE6537A1-D6FC-4f65-9D91-7224C49458BB}"/>
              </c:extLst>
            </c:dLbl>
            <c:dLbl>
              <c:idx val="1"/>
              <c:layout/>
              <c:numFmt formatCode="General" sourceLinked="1"/>
              <c:spPr>
                <a:noFill/>
                <a:ln>
                  <a:noFill/>
                </a:ln>
                <a:effectLst/>
              </c:spPr>
              <c:txPr>
                <a:bodyPr rot="0" spcFirstLastPara="0" vertOverflow="ellipsis" vert="horz" wrap="square" lIns="38100" tIns="19050" rIns="38100" bIns="19050" anchor="ctr" anchorCtr="1"/>
                <a:lstStyle/>
                <a:p>
                  <a:pPr>
                    <a:defRPr lang="zh-CN" sz="1050" b="1" i="0" u="none" strike="noStrike" kern="1200" spc="0" baseline="0">
                      <a:solidFill>
                        <a:schemeClr val="accent2"/>
                      </a:solidFill>
                      <a:latin typeface="+mn-lt"/>
                      <a:ea typeface="+mn-ea"/>
                      <a:cs typeface="+mn-cs"/>
                    </a:defRPr>
                  </a:pPr>
                </a:p>
              </c:txPr>
              <c:dLblPos val="outEnd"/>
              <c:showLegendKey val="0"/>
              <c:showVal val="0"/>
              <c:showCatName val="1"/>
              <c:showSerName val="0"/>
              <c:showPercent val="1"/>
              <c:showBubbleSize val="0"/>
              <c:separator>
</c:separator>
              <c:extLst>
                <c:ext xmlns:c15="http://schemas.microsoft.com/office/drawing/2012/chart" uri="{CE6537A1-D6FC-4f65-9D91-7224C49458BB}"/>
              </c:extLst>
            </c:dLbl>
            <c:dLbl>
              <c:idx val="2"/>
              <c:layout/>
              <c:numFmt formatCode="General" sourceLinked="1"/>
              <c:spPr>
                <a:noFill/>
                <a:ln>
                  <a:noFill/>
                </a:ln>
                <a:effectLst/>
              </c:spPr>
              <c:txPr>
                <a:bodyPr rot="0" spcFirstLastPara="0" vertOverflow="ellipsis" vert="horz" wrap="square" lIns="38100" tIns="19050" rIns="38100" bIns="19050" anchor="ctr" anchorCtr="1"/>
                <a:lstStyle/>
                <a:p>
                  <a:pPr>
                    <a:defRPr lang="zh-CN" sz="1050" b="1" i="0" u="none" strike="noStrike" kern="1200" spc="0" baseline="0">
                      <a:solidFill>
                        <a:schemeClr val="accent3"/>
                      </a:solidFill>
                      <a:latin typeface="+mn-lt"/>
                      <a:ea typeface="+mn-ea"/>
                      <a:cs typeface="+mn-cs"/>
                    </a:defRPr>
                  </a:pPr>
                </a:p>
              </c:txPr>
              <c:dLblPos val="outEnd"/>
              <c:showLegendKey val="0"/>
              <c:showVal val="0"/>
              <c:showCatName val="1"/>
              <c:showSerName val="0"/>
              <c:showPercent val="1"/>
              <c:showBubbleSize val="0"/>
              <c:separator>
</c:separator>
              <c:extLst>
                <c:ext xmlns:c15="http://schemas.microsoft.com/office/drawing/2012/chart" uri="{CE6537A1-D6FC-4f65-9D91-7224C49458BB}"/>
              </c:extLst>
            </c:dLbl>
            <c:dLbl>
              <c:idx val="3"/>
              <c:layout/>
              <c:numFmt formatCode="General" sourceLinked="1"/>
              <c:spPr>
                <a:noFill/>
                <a:ln>
                  <a:noFill/>
                </a:ln>
                <a:effectLst/>
              </c:spPr>
              <c:txPr>
                <a:bodyPr rot="0" spcFirstLastPara="0" vertOverflow="ellipsis" vert="horz" wrap="square" lIns="38100" tIns="19050" rIns="38100" bIns="19050" anchor="ctr" anchorCtr="1"/>
                <a:lstStyle/>
                <a:p>
                  <a:pPr>
                    <a:defRPr lang="zh-CN" sz="1050" b="1" i="0" u="none" strike="noStrike" kern="1200" spc="0" baseline="0">
                      <a:solidFill>
                        <a:schemeClr val="accent4"/>
                      </a:solidFill>
                      <a:latin typeface="+mn-lt"/>
                      <a:ea typeface="+mn-ea"/>
                      <a:cs typeface="+mn-cs"/>
                    </a:defRPr>
                  </a:pPr>
                </a:p>
              </c:txPr>
              <c:dLblPos val="outEnd"/>
              <c:showLegendKey val="0"/>
              <c:showVal val="0"/>
              <c:showCatName val="1"/>
              <c:showSerName val="0"/>
              <c:showPercent val="1"/>
              <c:showBubbleSize val="0"/>
              <c:separator>
</c:separator>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50" b="1" i="0" u="none" strike="noStrike" kern="1200" spc="0" baseline="0">
                    <a:solidFill>
                      <a:schemeClr val="accent1"/>
                    </a:solidFill>
                    <a:latin typeface="+mn-lt"/>
                    <a:ea typeface="+mn-ea"/>
                    <a:cs typeface="+mn-cs"/>
                  </a:defRPr>
                </a:pPr>
              </a:p>
            </c:txPr>
            <c:dLblPos val="out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金融行业</c:v>
                </c:pt>
                <c:pt idx="1">
                  <c:v>制造业</c:v>
                </c:pt>
                <c:pt idx="2">
                  <c:v>服务业</c:v>
                </c:pt>
                <c:pt idx="3">
                  <c:v>其他</c:v>
                </c:pt>
              </c:strCache>
            </c:strRef>
          </c:cat>
          <c:val>
            <c:numRef>
              <c:f>Sheet1!$B$2:$B$5</c:f>
              <c:numCache>
                <c:formatCode>0%</c:formatCode>
                <c:ptCount val="4"/>
                <c:pt idx="0">
                  <c:v>0.35</c:v>
                </c:pt>
                <c:pt idx="1">
                  <c:v>0.25</c:v>
                </c:pt>
                <c:pt idx="2">
                  <c:v>0.2</c:v>
                </c:pt>
                <c:pt idx="3">
                  <c:v>0.2</c:v>
                </c:pt>
              </c:numCache>
            </c:numRef>
          </c:val>
        </c:ser>
        <c:dLbls>
          <c:showLegendKey val="0"/>
          <c:showVal val="0"/>
          <c:showCatName val="1"/>
          <c:showSerName val="0"/>
          <c:showPercent val="0"/>
          <c:showBubbleSize val="0"/>
        </c:dLbls>
      </c:pie3DChart>
      <c:spPr>
        <a:noFill/>
        <a:ln>
          <a:noFill/>
        </a:ln>
        <a:effectLst/>
      </c:spPr>
    </c:plotArea>
    <c:legend>
      <c:legendPos val="r"/>
      <c:legendEntry>
        <c:idx val="0"/>
        <c:txPr>
          <a:bodyPr rot="0" spcFirstLastPara="0" vertOverflow="ellipsis" vert="horz" wrap="square" anchor="ctr" anchorCtr="1"/>
          <a:lstStyle/>
          <a:p>
            <a:pPr>
              <a:defRPr lang="zh-CN" sz="1050" b="0" i="0" u="none" strike="noStrike" kern="1200" baseline="0">
                <a:solidFill>
                  <a:schemeClr val="tx1">
                    <a:lumMod val="65000"/>
                    <a:lumOff val="35000"/>
                  </a:schemeClr>
                </a:solidFill>
                <a:latin typeface="+mn-lt"/>
                <a:ea typeface="+mn-ea"/>
                <a:cs typeface="+mn-cs"/>
              </a:defRPr>
            </a:pPr>
          </a:p>
        </c:txPr>
      </c:legendEntry>
      <c:legendEntry>
        <c:idx val="1"/>
        <c:txPr>
          <a:bodyPr rot="0" spcFirstLastPara="0" vertOverflow="ellipsis" vert="horz" wrap="square" anchor="ctr" anchorCtr="1"/>
          <a:lstStyle/>
          <a:p>
            <a:pPr>
              <a:defRPr lang="zh-CN" sz="1050" b="0" i="0" u="none" strike="noStrike" kern="1200" baseline="0">
                <a:solidFill>
                  <a:schemeClr val="tx1">
                    <a:lumMod val="65000"/>
                    <a:lumOff val="35000"/>
                  </a:schemeClr>
                </a:solidFill>
                <a:latin typeface="+mn-lt"/>
                <a:ea typeface="+mn-ea"/>
                <a:cs typeface="+mn-cs"/>
              </a:defRPr>
            </a:pPr>
          </a:p>
        </c:txPr>
      </c:legendEntry>
      <c:legendEntry>
        <c:idx val="2"/>
        <c:txPr>
          <a:bodyPr rot="0" spcFirstLastPara="0" vertOverflow="ellipsis" vert="horz" wrap="square" anchor="ctr" anchorCtr="1"/>
          <a:lstStyle/>
          <a:p>
            <a:pPr>
              <a:defRPr lang="zh-CN" sz="1050" b="0" i="0" u="none" strike="noStrike" kern="1200" baseline="0">
                <a:solidFill>
                  <a:schemeClr val="tx1">
                    <a:lumMod val="65000"/>
                    <a:lumOff val="35000"/>
                  </a:schemeClr>
                </a:solidFill>
                <a:latin typeface="+mn-lt"/>
                <a:ea typeface="+mn-ea"/>
                <a:cs typeface="+mn-cs"/>
              </a:defRPr>
            </a:pPr>
          </a:p>
        </c:txPr>
      </c:legendEntry>
      <c:legendEntry>
        <c:idx val="3"/>
        <c:txPr>
          <a:bodyPr rot="0" spcFirstLastPara="0" vertOverflow="ellipsis" vert="horz" wrap="square" anchor="ctr" anchorCtr="1"/>
          <a:lstStyle/>
          <a:p>
            <a:pPr>
              <a:defRPr lang="zh-CN" sz="1050" b="0" i="0" u="none" strike="noStrike" kern="1200" baseline="0">
                <a:solidFill>
                  <a:schemeClr val="tx1">
                    <a:lumMod val="65000"/>
                    <a:lumOff val="35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105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46aae340-457a-48f3-aa56-992d662634e5}"/>
      </c:ext>
    </c:extLst>
  </c:chart>
  <c:spPr>
    <a:solidFill>
      <a:schemeClr val="bg1"/>
    </a:solidFill>
    <a:ln w="9525" cap="flat" cmpd="sng" algn="ctr">
      <a:solidFill>
        <a:schemeClr val="tx1">
          <a:lumMod val="15000"/>
          <a:lumOff val="85000"/>
        </a:schemeClr>
      </a:solidFill>
      <a:round/>
    </a:ln>
    <a:effectLst/>
  </c:spPr>
  <c:txPr>
    <a:bodyPr/>
    <a:lstStyle/>
    <a:p>
      <a:pPr>
        <a:defRPr lang="zh-CN" sz="1050"/>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Sheet1!$B$1</c:f>
              <c:strCache>
                <c:ptCount val="1"/>
                <c:pt idx="0">
                  <c:v>需求比例</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财务数据分析师</c:v>
                </c:pt>
                <c:pt idx="1">
                  <c:v>智能会计专员</c:v>
                </c:pt>
                <c:pt idx="2">
                  <c:v>财务风险管理师</c:v>
                </c:pt>
                <c:pt idx="3">
                  <c:v>其他相关岗位</c:v>
                </c:pt>
              </c:strCache>
            </c:strRef>
          </c:cat>
          <c:val>
            <c:numRef>
              <c:f>Sheet1!$B$2:$B$5</c:f>
              <c:numCache>
                <c:formatCode>0%</c:formatCode>
                <c:ptCount val="4"/>
                <c:pt idx="0">
                  <c:v>0.4</c:v>
                </c:pt>
                <c:pt idx="1">
                  <c:v>0.3</c:v>
                </c:pt>
                <c:pt idx="2">
                  <c:v>0.2</c:v>
                </c:pt>
                <c:pt idx="3">
                  <c:v>0.1</c:v>
                </c:pt>
              </c:numCache>
            </c:numRef>
          </c:val>
        </c:ser>
        <c:dLbls>
          <c:showLegendKey val="0"/>
          <c:showVal val="1"/>
          <c:showCatName val="0"/>
          <c:showSerName val="0"/>
          <c:showPercent val="0"/>
          <c:showBubbleSize val="0"/>
        </c:dLbls>
        <c:gapWidth val="140"/>
        <c:overlap val="-40"/>
        <c:axId val="578323399"/>
        <c:axId val="341576207"/>
      </c:barChart>
      <c:catAx>
        <c:axId val="578323399"/>
        <c:scaling>
          <c:orientation val="minMax"/>
        </c:scaling>
        <c:delete val="0"/>
        <c:axPos val="l"/>
        <c:majorTickMark val="out"/>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41576207"/>
        <c:crosses val="autoZero"/>
        <c:auto val="1"/>
        <c:lblAlgn val="ctr"/>
        <c:lblOffset val="100"/>
        <c:noMultiLvlLbl val="0"/>
      </c:catAx>
      <c:valAx>
        <c:axId val="341576207"/>
        <c:scaling>
          <c:orientation val="minMax"/>
        </c:scaling>
        <c:delete val="1"/>
        <c:axPos val="b"/>
        <c:numFmt formatCode="0%" sourceLinked="1"/>
        <c:majorTickMark val="out"/>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78323399"/>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33d14658-3bf5-4eac-9f26-71cf326adced}"/>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118">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93">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cs:styleClr val="auto"/>
    </cs:fontRef>
    <cs:defRPr sz="1000" b="1" i="0" u="none" strike="noStrike" kern="1200" spc="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styleClr val="auto"/>
    </cs:lnRef>
    <cs:fillRef idx="1">
      <cs:styleClr val="auto"/>
    </cs:fillRef>
    <cs:effectRef idx="0"/>
    <cs:fontRef idx="minor">
      <a:schemeClr val="dk1"/>
    </cs:fontRef>
    <cs:spPr>
      <a:ln>
        <a:solidFill>
          <a:schemeClr val="bg1"/>
        </a:solidFill>
      </a:ln>
      <a:effectLst/>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10028">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0">
      <cs:styleClr val="auto"/>
    </cs:fillRef>
    <cs:effectRef idx="0"/>
    <cs:fontRef idx="minor">
      <a:schemeClr val="dk1"/>
    </cs:fontRef>
    <cs:spPr>
      <a:ln w="28575" cap="rnd">
        <a:solidFill>
          <a:schemeClr val="phClr"/>
        </a:solidFill>
        <a:round/>
      </a:ln>
      <a:effectLst/>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theme/themeOverride1.xml><?xml version="1.0" encoding="utf-8"?>
<a:themeOverride xmlns:a="http://schemas.openxmlformats.org/drawingml/2006/main">
  <a:clrScheme name="自定义 42">
    <a:dk1>
      <a:srgbClr val="000000"/>
    </a:dk1>
    <a:lt1>
      <a:srgbClr val="FFFFFF"/>
    </a:lt1>
    <a:dk2>
      <a:srgbClr val="44546A"/>
    </a:dk2>
    <a:lt2>
      <a:srgbClr val="E7E6E6"/>
    </a:lt2>
    <a:accent1>
      <a:srgbClr val="13B528"/>
    </a:accent1>
    <a:accent2>
      <a:srgbClr val="45C163"/>
    </a:accent2>
    <a:accent3>
      <a:srgbClr val="00AF78"/>
    </a:accent3>
    <a:accent4>
      <a:srgbClr val="009B8B"/>
    </a:accent4>
    <a:accent5>
      <a:srgbClr val="008697"/>
    </a:accent5>
    <a:accent6>
      <a:srgbClr val="00709B"/>
    </a:accent6>
    <a:hlink>
      <a:srgbClr val="0026E5"/>
    </a:hlink>
    <a:folHlink>
      <a:srgbClr val="7E1FAD"/>
    </a:folHlink>
  </a:clrScheme>
  <a:fontScheme name="WPS">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Pages>6</Pages>
  <Words>5115</Words>
  <Characters>5176</Characters>
  <Lines>0</Lines>
  <Paragraphs>0</Paragraphs>
  <TotalTime>3</TotalTime>
  <ScaleCrop>false</ScaleCrop>
  <LinksUpToDate>false</LinksUpToDate>
  <CharactersWithSpaces>5178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2025-03-02T03:20:00Z</dcterms:created>
  <dc:creator>删繁</dc:creator>
  <cp:lastModifiedBy>删繁</cp:lastModifiedBy>
  <dcterms:modified xsi:type="dcterms:W3CDTF">2025-03-05T00:55:41Z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6EBF0B6222674AB994FADBDF0D8DDF5F_11</vt:lpwstr>
  </property>
  <property fmtid="{D5CDD505-2E9C-101B-9397-08002B2CF9AE}" pid="4" name="KSOTemplateDocerSaveRecord">
    <vt:lpwstr>eyJoZGlkIjoiZThlMmNmNGM3ZWVmMGUzZDQzNWNjYjQ1YjQzZjBkNGUiLCJ1c2VySWQiOiIyNDU4OTU4ODgifQ==</vt:lpwstr>
  </property>
</Properties>
</file>