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ascii="黑体" w:hAnsi="Times New Roman" w:eastAsia="黑体" w:cs="Times New Roman"/>
          <w:sz w:val="36"/>
          <w:szCs w:val="36"/>
        </w:rPr>
      </w:pPr>
      <w:r>
        <w:rPr>
          <w:rFonts w:hint="eastAsia" w:ascii="黑体" w:hAnsi="Times New Roman" w:eastAsia="黑体" w:cs="Times New Roman"/>
          <w:sz w:val="36"/>
          <w:szCs w:val="36"/>
        </w:rPr>
        <w:t>形势与政策课程简介（专科）</w:t>
      </w:r>
    </w:p>
    <w:p>
      <w:pPr>
        <w:pStyle w:val="2"/>
        <w:spacing w:line="360" w:lineRule="auto"/>
        <w:jc w:val="left"/>
        <w:rPr>
          <w:rFonts w:ascii="黑体" w:hAnsi="华文中宋" w:eastAsia="黑体" w:cs="Times New Roman"/>
        </w:rPr>
      </w:pPr>
    </w:p>
    <w:p>
      <w:pPr>
        <w:pStyle w:val="2"/>
        <w:spacing w:line="360" w:lineRule="auto"/>
        <w:jc w:val="left"/>
        <w:rPr>
          <w:rFonts w:ascii="黑体" w:hAnsi="华文中宋" w:eastAsia="黑体" w:cs="Times New Roman"/>
          <w:sz w:val="24"/>
          <w:szCs w:val="24"/>
        </w:rPr>
      </w:pPr>
      <w:r>
        <w:rPr>
          <w:rFonts w:hint="eastAsia" w:ascii="黑体" w:hAnsi="华文中宋" w:eastAsia="黑体" w:cs="Times New Roman"/>
          <w:sz w:val="24"/>
          <w:szCs w:val="24"/>
        </w:rPr>
        <w:t>课程名称（中文）：</w:t>
      </w:r>
      <w:r>
        <w:rPr>
          <w:rFonts w:hint="eastAsia" w:hAnsi="宋体" w:cs="Times New Roman"/>
          <w:sz w:val="24"/>
          <w:szCs w:val="24"/>
        </w:rPr>
        <w:t>形势与政策</w:t>
      </w:r>
      <w:r>
        <w:rPr>
          <w:rFonts w:ascii="黑体" w:hAnsi="华文中宋" w:eastAsia="黑体" w:cs="Times New Roman"/>
          <w:sz w:val="24"/>
          <w:szCs w:val="24"/>
        </w:rPr>
        <w:t xml:space="preserve">          </w:t>
      </w:r>
      <w:r>
        <w:rPr>
          <w:rFonts w:hint="eastAsia" w:ascii="黑体" w:hAnsi="Times New Roman" w:eastAsia="黑体" w:cs="Times New Roman"/>
          <w:sz w:val="24"/>
          <w:szCs w:val="24"/>
        </w:rPr>
        <w:t>课程性质：</w:t>
      </w:r>
      <w:r>
        <w:rPr>
          <w:rFonts w:hint="eastAsia" w:hAnsi="宋体" w:cs="Times New Roman"/>
          <w:sz w:val="24"/>
          <w:szCs w:val="24"/>
        </w:rPr>
        <w:t>通识必修课</w:t>
      </w:r>
    </w:p>
    <w:p>
      <w:pPr>
        <w:pStyle w:val="2"/>
        <w:spacing w:line="360" w:lineRule="auto"/>
        <w:ind w:firstLine="960" w:firstLineChars="400"/>
        <w:jc w:val="left"/>
        <w:rPr>
          <w:rFonts w:ascii="黑体" w:hAnsi="华文中宋" w:eastAsia="黑体" w:cs="Times New Roman"/>
          <w:sz w:val="24"/>
          <w:szCs w:val="24"/>
        </w:rPr>
      </w:pPr>
      <w:r>
        <w:rPr>
          <w:rFonts w:hint="eastAsia" w:ascii="Times New Roman" w:hAnsi="Times New Roman" w:eastAsia="黑体" w:cs="Times New Roman"/>
          <w:sz w:val="24"/>
          <w:szCs w:val="24"/>
        </w:rPr>
        <w:t>（英文）：</w:t>
      </w:r>
      <w:r>
        <w:rPr>
          <w:color w:val="000000"/>
          <w:sz w:val="27"/>
          <w:szCs w:val="27"/>
          <w:shd w:val="clear" w:color="auto" w:fill="FFFFFF"/>
        </w:rPr>
        <w:t>Situation And Policy</w:t>
      </w:r>
      <w:r>
        <w:rPr>
          <w:rFonts w:ascii="Verdana" w:hAnsi="Verdana"/>
          <w:color w:val="333333"/>
        </w:rPr>
        <w:t>       </w:t>
      </w:r>
    </w:p>
    <w:p>
      <w:pPr>
        <w:pStyle w:val="2"/>
        <w:spacing w:line="360" w:lineRule="auto"/>
        <w:jc w:val="left"/>
        <w:rPr>
          <w:rFonts w:ascii="黑体" w:hAnsi="Times New Roman" w:eastAsia="黑体" w:cs="Times New Roman"/>
          <w:sz w:val="24"/>
          <w:szCs w:val="24"/>
        </w:rPr>
      </w:pPr>
      <w:r>
        <w:rPr>
          <w:rFonts w:hint="eastAsia" w:ascii="黑体" w:hAnsi="Times New Roman" w:eastAsia="黑体" w:cs="Times New Roman"/>
          <w:sz w:val="24"/>
          <w:szCs w:val="24"/>
        </w:rPr>
        <w:t>课程编号</w:t>
      </w:r>
      <w:r>
        <w:rPr>
          <w:rFonts w:hint="eastAsia" w:ascii="Times New Roman" w:hAnsi="Times New Roman" w:cs="Times New Roman"/>
          <w:sz w:val="24"/>
          <w:szCs w:val="24"/>
        </w:rPr>
        <w:t>：</w:t>
      </w:r>
      <w:r>
        <w:rPr>
          <w:rFonts w:ascii="Arial" w:hAnsi="Arial" w:cs="Arial"/>
          <w:color w:val="000000"/>
          <w:sz w:val="18"/>
          <w:szCs w:val="18"/>
        </w:rPr>
        <w:t>10001002</w:t>
      </w:r>
      <w:r>
        <w:rPr>
          <w:rFonts w:hAnsi="宋体" w:cs="Times New Roman"/>
          <w:sz w:val="24"/>
          <w:szCs w:val="24"/>
        </w:rPr>
        <w:t xml:space="preserve">      </w:t>
      </w:r>
      <w:r>
        <w:rPr>
          <w:rFonts w:ascii="Times New Roman" w:hAnsi="Times New Roman" w:cs="Times New Roman"/>
          <w:sz w:val="24"/>
          <w:szCs w:val="24"/>
        </w:rPr>
        <w:t xml:space="preserve">                    </w:t>
      </w:r>
      <w:r>
        <w:rPr>
          <w:rFonts w:hint="eastAsia" w:ascii="黑体" w:hAnsi="Times New Roman" w:eastAsia="黑体" w:cs="Times New Roman"/>
          <w:sz w:val="24"/>
          <w:szCs w:val="24"/>
        </w:rPr>
        <w:t>开课单位：基础教学部</w:t>
      </w:r>
    </w:p>
    <w:p>
      <w:pPr>
        <w:pStyle w:val="2"/>
        <w:spacing w:line="360" w:lineRule="auto"/>
        <w:jc w:val="left"/>
        <w:rPr>
          <w:rFonts w:hint="eastAsia" w:ascii="黑体" w:hAnsi="Times New Roman" w:eastAsia="黑体" w:cs="Times New Roman"/>
          <w:sz w:val="24"/>
          <w:szCs w:val="24"/>
          <w:lang w:val="en-US" w:eastAsia="zh-CN"/>
        </w:rPr>
      </w:pPr>
      <w:r>
        <w:rPr>
          <w:rFonts w:hint="eastAsia" w:ascii="黑体" w:hAnsi="Times New Roman" w:eastAsia="黑体" w:cs="Times New Roman"/>
          <w:sz w:val="24"/>
          <w:szCs w:val="24"/>
        </w:rPr>
        <w:t>学</w:t>
      </w:r>
      <w:r>
        <w:rPr>
          <w:rFonts w:ascii="黑体" w:hAnsi="Times New Roman" w:eastAsia="黑体" w:cs="Times New Roman"/>
          <w:sz w:val="24"/>
          <w:szCs w:val="24"/>
        </w:rPr>
        <w:t xml:space="preserve">    </w:t>
      </w:r>
      <w:r>
        <w:rPr>
          <w:rFonts w:hint="eastAsia" w:ascii="黑体" w:hAnsi="Times New Roman" w:eastAsia="黑体" w:cs="Times New Roman"/>
          <w:sz w:val="24"/>
          <w:szCs w:val="24"/>
        </w:rPr>
        <w:t>分</w:t>
      </w:r>
      <w:r>
        <w:rPr>
          <w:rFonts w:hint="eastAsia" w:ascii="Times New Roman" w:hAnsi="Times New Roman" w:cs="Times New Roman"/>
          <w:sz w:val="24"/>
          <w:szCs w:val="24"/>
        </w:rPr>
        <w:t>：</w:t>
      </w:r>
      <w:bookmarkStart w:id="0" w:name="_Hlk508612918"/>
      <w:r>
        <w:rPr>
          <w:rFonts w:ascii="Times New Roman" w:hAnsi="Times New Roman" w:cs="Times New Roman"/>
          <w:sz w:val="24"/>
          <w:szCs w:val="24"/>
        </w:rPr>
        <w:t>1</w:t>
      </w:r>
      <w:r>
        <w:rPr>
          <w:rFonts w:hAnsi="宋体" w:cs="Times New Roman"/>
          <w:sz w:val="24"/>
          <w:szCs w:val="24"/>
        </w:rPr>
        <w:t xml:space="preserve"> </w:t>
      </w:r>
      <w:bookmarkEnd w:id="0"/>
      <w:r>
        <w:rPr>
          <w:rFonts w:hAnsi="宋体" w:cs="Times New Roman"/>
          <w:sz w:val="24"/>
          <w:szCs w:val="24"/>
        </w:rPr>
        <w:t xml:space="preserve">   </w:t>
      </w:r>
      <w:r>
        <w:rPr>
          <w:rFonts w:ascii="Times New Roman" w:hAnsi="Times New Roman" w:cs="Times New Roman"/>
          <w:sz w:val="24"/>
          <w:szCs w:val="24"/>
        </w:rPr>
        <w:t xml:space="preserve">                                    </w:t>
      </w:r>
      <w:r>
        <w:rPr>
          <w:rFonts w:hint="eastAsia" w:ascii="黑体" w:hAnsi="Times New Roman" w:eastAsia="黑体" w:cs="Times New Roman"/>
          <w:sz w:val="24"/>
          <w:szCs w:val="24"/>
        </w:rPr>
        <w:t>总</w:t>
      </w:r>
      <w:r>
        <w:rPr>
          <w:rFonts w:ascii="黑体" w:hAnsi="Times New Roman" w:eastAsia="黑体" w:cs="Times New Roman"/>
          <w:sz w:val="24"/>
          <w:szCs w:val="24"/>
        </w:rPr>
        <w:t xml:space="preserve"> </w:t>
      </w:r>
      <w:r>
        <w:rPr>
          <w:rFonts w:hint="eastAsia" w:ascii="黑体" w:hAnsi="Times New Roman" w:eastAsia="黑体" w:cs="Times New Roman"/>
          <w:sz w:val="24"/>
          <w:szCs w:val="24"/>
        </w:rPr>
        <w:t>学</w:t>
      </w:r>
      <w:r>
        <w:rPr>
          <w:rFonts w:ascii="黑体" w:hAnsi="Times New Roman" w:eastAsia="黑体" w:cs="Times New Roman"/>
          <w:sz w:val="24"/>
          <w:szCs w:val="24"/>
        </w:rPr>
        <w:t xml:space="preserve"> </w:t>
      </w:r>
      <w:r>
        <w:rPr>
          <w:rFonts w:hint="eastAsia" w:ascii="黑体" w:hAnsi="Times New Roman" w:eastAsia="黑体" w:cs="Times New Roman"/>
          <w:sz w:val="24"/>
          <w:szCs w:val="24"/>
        </w:rPr>
        <w:t>时：</w:t>
      </w:r>
      <w:r>
        <w:rPr>
          <w:rFonts w:ascii="黑体" w:hAnsi="Times New Roman" w:eastAsia="黑体" w:cs="Times New Roman"/>
          <w:sz w:val="24"/>
          <w:szCs w:val="24"/>
        </w:rPr>
        <w:t>4</w:t>
      </w:r>
      <w:r>
        <w:rPr>
          <w:rFonts w:hint="eastAsia" w:ascii="黑体" w:hAnsi="Times New Roman" w:eastAsia="黑体" w:cs="Times New Roman"/>
          <w:sz w:val="24"/>
          <w:szCs w:val="24"/>
          <w:lang w:val="en-US" w:eastAsia="zh-CN"/>
        </w:rPr>
        <w:t>8</w:t>
      </w:r>
      <w:bookmarkStart w:id="2" w:name="_GoBack"/>
      <w:bookmarkEnd w:id="2"/>
    </w:p>
    <w:p>
      <w:pPr>
        <w:pStyle w:val="2"/>
        <w:spacing w:line="360" w:lineRule="auto"/>
        <w:jc w:val="left"/>
        <w:rPr>
          <w:rFonts w:ascii="Times New Roman" w:hAnsi="Times New Roman" w:cs="Times New Roman"/>
          <w:sz w:val="24"/>
          <w:szCs w:val="24"/>
        </w:rPr>
      </w:pPr>
      <w:r>
        <w:rPr>
          <w:rFonts w:hint="eastAsia" w:ascii="黑体" w:hAnsi="Times New Roman" w:eastAsia="黑体" w:cs="Times New Roman"/>
          <w:sz w:val="24"/>
          <w:szCs w:val="24"/>
        </w:rPr>
        <w:t>先修课程</w:t>
      </w:r>
      <w:r>
        <w:rPr>
          <w:rFonts w:hint="eastAsia" w:ascii="Times New Roman" w:hAnsi="Times New Roman" w:cs="Times New Roman"/>
          <w:sz w:val="24"/>
          <w:szCs w:val="24"/>
        </w:rPr>
        <w:t>：无</w:t>
      </w:r>
      <w:r>
        <w:rPr>
          <w:rFonts w:ascii="Times New Roman" w:hAnsi="Times New Roman" w:cs="Times New Roman"/>
          <w:sz w:val="24"/>
          <w:szCs w:val="24"/>
        </w:rPr>
        <w:t xml:space="preserve">                                          </w:t>
      </w:r>
      <w:r>
        <w:rPr>
          <w:rFonts w:hint="eastAsia" w:ascii="黑体" w:hAnsi="Times New Roman" w:eastAsia="黑体" w:cs="Times New Roman"/>
          <w:sz w:val="24"/>
          <w:szCs w:val="24"/>
        </w:rPr>
        <w:t>适用对象</w:t>
      </w:r>
      <w:r>
        <w:rPr>
          <w:rFonts w:hint="eastAsia" w:ascii="Times New Roman" w:hAnsi="Times New Roman" w:cs="Times New Roman"/>
          <w:sz w:val="24"/>
          <w:szCs w:val="24"/>
        </w:rPr>
        <w:t>：全校专科学生</w:t>
      </w:r>
    </w:p>
    <w:p>
      <w:pPr>
        <w:pStyle w:val="2"/>
        <w:spacing w:line="360" w:lineRule="auto"/>
        <w:jc w:val="left"/>
        <w:rPr>
          <w:rFonts w:ascii="Times New Roman" w:hAnsi="Times New Roman" w:cs="Times New Roman"/>
          <w:sz w:val="24"/>
          <w:szCs w:val="24"/>
        </w:rPr>
      </w:pPr>
    </w:p>
    <w:p>
      <w:pPr>
        <w:pStyle w:val="2"/>
        <w:spacing w:line="360" w:lineRule="auto"/>
        <w:rPr>
          <w:rFonts w:ascii="Times New Roman" w:hAnsi="Times New Roman" w:cs="Times New Roman"/>
          <w:sz w:val="24"/>
          <w:szCs w:val="24"/>
        </w:rPr>
      </w:pPr>
      <w:r>
        <w:rPr>
          <w:rFonts w:hint="eastAsia" w:ascii="黑体" w:hAnsi="Times New Roman" w:eastAsia="黑体" w:cs="Times New Roman"/>
          <w:sz w:val="24"/>
          <w:szCs w:val="24"/>
        </w:rPr>
        <w:t>课程主要内容</w:t>
      </w:r>
      <w:r>
        <w:rPr>
          <w:rFonts w:hint="eastAsia" w:ascii="Times New Roman" w:hAnsi="Times New Roman" w:cs="Times New Roman"/>
          <w:sz w:val="24"/>
          <w:szCs w:val="24"/>
        </w:rPr>
        <w:t>：</w:t>
      </w:r>
    </w:p>
    <w:p>
      <w:pPr>
        <w:shd w:val="clear" w:color="auto" w:fill="FFFFFF"/>
        <w:adjustRightInd/>
        <w:snapToGrid/>
        <w:spacing w:before="100" w:beforeAutospacing="1" w:after="100" w:afterAutospacing="1" w:line="360" w:lineRule="atLeast"/>
        <w:ind w:firstLine="420" w:firstLineChars="200"/>
        <w:jc w:val="both"/>
        <w:rPr>
          <w:rFonts w:ascii="宋体" w:hAnsi="宋体" w:eastAsia="宋体" w:cs="宋体"/>
          <w:sz w:val="21"/>
          <w:szCs w:val="21"/>
        </w:rPr>
      </w:pPr>
      <w:r>
        <w:rPr>
          <w:rFonts w:hint="eastAsia" w:ascii="宋体" w:hAnsi="宋体" w:eastAsia="宋体" w:cs="宋体"/>
          <w:sz w:val="21"/>
          <w:szCs w:val="21"/>
        </w:rPr>
        <w:t>由于《形势与政策》课的内容具有针对性与时效性的特点，因此其内容具有特殊性，不同于传统课程有固定的教学内容体系。</w:t>
      </w:r>
    </w:p>
    <w:p>
      <w:pPr>
        <w:shd w:val="clear" w:color="auto" w:fill="FFFFFF"/>
        <w:adjustRightInd/>
        <w:snapToGrid/>
        <w:spacing w:before="100" w:beforeAutospacing="1" w:after="100" w:afterAutospacing="1" w:line="360" w:lineRule="atLeast"/>
        <w:ind w:firstLine="420" w:firstLineChars="200"/>
        <w:jc w:val="both"/>
        <w:rPr>
          <w:rFonts w:ascii="宋体" w:hAnsi="宋体" w:eastAsia="宋体" w:cs="宋体"/>
          <w:sz w:val="21"/>
          <w:szCs w:val="21"/>
        </w:rPr>
      </w:pPr>
      <w:bookmarkStart w:id="1" w:name="OLE_LINK4"/>
      <w:r>
        <w:rPr>
          <w:rFonts w:ascii="宋体" w:hAnsi="宋体" w:eastAsia="宋体" w:cs="宋体"/>
          <w:sz w:val="21"/>
          <w:szCs w:val="21"/>
        </w:rPr>
        <w:fldChar w:fldCharType="begin"/>
      </w:r>
      <w:r>
        <w:rPr>
          <w:rFonts w:ascii="宋体" w:hAnsi="宋体" w:eastAsia="宋体" w:cs="宋体"/>
          <w:sz w:val="21"/>
          <w:szCs w:val="21"/>
        </w:rPr>
        <w:instrText xml:space="preserve"> HYPERLINK "http://www.ahjzu.edu.cn/szjxb/2017/0921/c7566a63943/page.htm" </w:instrText>
      </w:r>
      <w:r>
        <w:rPr>
          <w:rFonts w:ascii="宋体" w:hAnsi="宋体" w:eastAsia="宋体" w:cs="宋体"/>
          <w:sz w:val="21"/>
          <w:szCs w:val="21"/>
        </w:rPr>
        <w:fldChar w:fldCharType="separate"/>
      </w:r>
      <w:r>
        <w:rPr>
          <w:rFonts w:hint="eastAsia" w:ascii="宋体" w:hAnsi="宋体" w:eastAsia="宋体" w:cs="宋体"/>
          <w:sz w:val="21"/>
          <w:szCs w:val="21"/>
        </w:rPr>
        <w:t>依据中宣部、教育部下发的“高校形势与政策教育教学要点”</w:t>
      </w:r>
      <w:r>
        <w:rPr>
          <w:rFonts w:ascii="宋体" w:hAnsi="宋体" w:eastAsia="宋体" w:cs="宋体"/>
          <w:sz w:val="21"/>
          <w:szCs w:val="21"/>
        </w:rPr>
        <w:fldChar w:fldCharType="end"/>
      </w:r>
      <w:bookmarkEnd w:id="1"/>
      <w:r>
        <w:rPr>
          <w:rFonts w:hint="eastAsia" w:ascii="宋体" w:hAnsi="宋体" w:eastAsia="宋体" w:cs="宋体"/>
          <w:sz w:val="21"/>
          <w:szCs w:val="21"/>
        </w:rPr>
        <w:t>，结合当前国际国内形势以及我校教学实际情况和大学生成长的特点确定选题。在介绍当前国内外经济政治形势、国际关系以及国内外热点事件的基础上，阐明了我国政府的基本原则、基本立场与应对政策。采用专题式教学方法，每学期从国内、国际两大板块中确定</w:t>
      </w:r>
      <w:r>
        <w:rPr>
          <w:rFonts w:ascii="宋体" w:hAnsi="宋体" w:eastAsia="宋体" w:cs="宋体"/>
          <w:sz w:val="21"/>
          <w:szCs w:val="21"/>
        </w:rPr>
        <w:t>2</w:t>
      </w:r>
      <w:r>
        <w:rPr>
          <w:rFonts w:hint="eastAsia" w:ascii="宋体" w:hAnsi="宋体" w:eastAsia="宋体" w:cs="宋体"/>
          <w:sz w:val="21"/>
          <w:szCs w:val="21"/>
        </w:rPr>
        <w:t>个专题作为理论教学内容。努力体现权威性、前沿性，注重理论与实际的结合、历史与现实的结合、稳定性与变动性的结合、学习知识与发展能力的结合，在相关问题的解读和分析上下工夫，力求达到知识传递与思想深化的双重效果。</w:t>
      </w:r>
    </w:p>
    <w:p>
      <w:pPr>
        <w:pStyle w:val="2"/>
        <w:spacing w:line="360" w:lineRule="auto"/>
        <w:rPr>
          <w:rFonts w:ascii="Times New Roman" w:hAnsi="Times New Roman" w:cs="Times New Roman"/>
          <w:sz w:val="24"/>
          <w:szCs w:val="24"/>
        </w:rPr>
      </w:pPr>
      <w:r>
        <w:rPr>
          <w:rFonts w:hint="eastAsia" w:ascii="黑体" w:eastAsia="黑体"/>
          <w:sz w:val="24"/>
        </w:rPr>
        <w:t>参考书目</w:t>
      </w:r>
      <w:r>
        <w:rPr>
          <w:rFonts w:hint="eastAsia"/>
          <w:sz w:val="24"/>
        </w:rPr>
        <w:t>：</w:t>
      </w:r>
    </w:p>
    <w:p>
      <w:pPr>
        <w:adjustRightInd/>
        <w:snapToGrid/>
        <w:spacing w:before="100" w:beforeAutospacing="1" w:after="100" w:afterAutospacing="1"/>
        <w:ind w:firstLine="210"/>
        <w:rPr>
          <w:rFonts w:ascii="宋体" w:hAnsi="宋体" w:eastAsia="宋体" w:cs="宋体"/>
          <w:color w:val="000000"/>
          <w:sz w:val="21"/>
          <w:szCs w:val="21"/>
        </w:rPr>
      </w:pPr>
      <w:r>
        <w:rPr>
          <w:rFonts w:ascii="宋体" w:hAnsi="宋体" w:eastAsia="宋体" w:cs="宋体"/>
          <w:color w:val="000000"/>
          <w:sz w:val="21"/>
          <w:szCs w:val="21"/>
        </w:rPr>
        <w:t>1. </w:t>
      </w:r>
      <w:r>
        <w:rPr>
          <w:rFonts w:hint="eastAsia" w:ascii="宋体" w:hAnsi="宋体" w:eastAsia="宋体" w:cs="宋体"/>
          <w:color w:val="000000"/>
          <w:sz w:val="21"/>
          <w:szCs w:val="21"/>
        </w:rPr>
        <w:t>中共中央宣传部理论局</w:t>
      </w:r>
      <w:r>
        <w:rPr>
          <w:rFonts w:ascii="宋体" w:hAnsi="宋体" w:eastAsia="宋体" w:cs="宋体"/>
          <w:color w:val="000000"/>
          <w:sz w:val="21"/>
          <w:szCs w:val="21"/>
        </w:rPr>
        <w:t>.</w:t>
      </w:r>
      <w:r>
        <w:rPr>
          <w:rFonts w:hint="eastAsia" w:ascii="宋体" w:hAnsi="宋体" w:eastAsia="宋体" w:cs="宋体"/>
          <w:color w:val="000000"/>
          <w:sz w:val="21"/>
          <w:szCs w:val="21"/>
        </w:rPr>
        <w:t>《理论热点面对面》</w:t>
      </w:r>
      <w:r>
        <w:rPr>
          <w:rFonts w:ascii="宋体" w:hAnsi="宋体" w:eastAsia="宋体" w:cs="宋体"/>
          <w:color w:val="000000"/>
          <w:sz w:val="21"/>
          <w:szCs w:val="21"/>
        </w:rPr>
        <w:t>[N].</w:t>
      </w:r>
      <w:r>
        <w:rPr>
          <w:rFonts w:hint="eastAsia" w:ascii="宋体" w:hAnsi="宋体" w:eastAsia="宋体" w:cs="宋体"/>
          <w:color w:val="000000"/>
          <w:sz w:val="21"/>
          <w:szCs w:val="21"/>
        </w:rPr>
        <w:t>北京</w:t>
      </w:r>
      <w:r>
        <w:rPr>
          <w:rFonts w:ascii="宋体" w:hAnsi="宋体" w:eastAsia="宋体" w:cs="宋体"/>
          <w:color w:val="000000"/>
          <w:sz w:val="21"/>
          <w:szCs w:val="21"/>
        </w:rPr>
        <w:t>:</w:t>
      </w:r>
      <w:r>
        <w:rPr>
          <w:rFonts w:hint="eastAsia" w:ascii="宋体" w:hAnsi="宋体" w:eastAsia="宋体" w:cs="宋体"/>
          <w:color w:val="000000"/>
          <w:sz w:val="21"/>
          <w:szCs w:val="21"/>
        </w:rPr>
        <w:t>学习出版社、人民教育出版社；</w:t>
      </w:r>
    </w:p>
    <w:p>
      <w:pPr>
        <w:adjustRightInd/>
        <w:snapToGrid/>
        <w:spacing w:before="100" w:beforeAutospacing="1" w:after="100" w:afterAutospacing="1"/>
        <w:ind w:firstLine="210"/>
        <w:rPr>
          <w:rFonts w:ascii="宋体" w:hAnsi="宋体" w:eastAsia="宋体" w:cs="宋体"/>
          <w:color w:val="000000"/>
          <w:sz w:val="21"/>
          <w:szCs w:val="21"/>
        </w:rPr>
      </w:pPr>
      <w:r>
        <w:rPr>
          <w:rFonts w:ascii="宋体" w:hAnsi="宋体" w:eastAsia="宋体" w:cs="宋体"/>
          <w:color w:val="000000"/>
          <w:sz w:val="21"/>
          <w:szCs w:val="21"/>
        </w:rPr>
        <w:t>2. </w:t>
      </w:r>
      <w:r>
        <w:rPr>
          <w:rFonts w:hint="eastAsia" w:ascii="宋体" w:hAnsi="宋体" w:eastAsia="宋体" w:cs="宋体"/>
          <w:color w:val="000000"/>
          <w:sz w:val="21"/>
          <w:szCs w:val="21"/>
        </w:rPr>
        <w:t>《时事报告（大学生版）》与《时事报告》等杂志；</w:t>
      </w:r>
    </w:p>
    <w:p>
      <w:pPr>
        <w:adjustRightInd/>
        <w:snapToGrid/>
        <w:spacing w:before="100" w:beforeAutospacing="1" w:after="100" w:afterAutospacing="1"/>
        <w:ind w:firstLine="210"/>
        <w:rPr>
          <w:rFonts w:ascii="宋体" w:hAnsi="宋体" w:eastAsia="宋体" w:cs="宋体"/>
          <w:color w:val="000000"/>
          <w:sz w:val="21"/>
          <w:szCs w:val="21"/>
        </w:rPr>
      </w:pPr>
      <w:r>
        <w:rPr>
          <w:rFonts w:ascii="宋体" w:hAnsi="宋体" w:eastAsia="宋体" w:cs="宋体"/>
          <w:color w:val="000000"/>
          <w:sz w:val="21"/>
          <w:szCs w:val="21"/>
        </w:rPr>
        <w:t>3. </w:t>
      </w:r>
      <w:r>
        <w:rPr>
          <w:rFonts w:hint="eastAsia" w:ascii="宋体" w:hAnsi="宋体" w:eastAsia="宋体" w:cs="宋体"/>
          <w:color w:val="000000"/>
          <w:sz w:val="21"/>
          <w:szCs w:val="21"/>
        </w:rPr>
        <w:t>中共中央文献研究室编．十八大以来重要文献选编（上册）</w:t>
      </w:r>
      <w:r>
        <w:rPr>
          <w:rFonts w:ascii="宋体" w:hAnsi="宋体" w:eastAsia="宋体" w:cs="宋体"/>
          <w:color w:val="000000"/>
          <w:sz w:val="21"/>
          <w:szCs w:val="21"/>
        </w:rPr>
        <w:t>[C]</w:t>
      </w:r>
      <w:r>
        <w:rPr>
          <w:rFonts w:hint="eastAsia" w:ascii="宋体" w:hAnsi="宋体" w:eastAsia="宋体" w:cs="宋体"/>
          <w:color w:val="000000"/>
          <w:sz w:val="21"/>
          <w:szCs w:val="21"/>
        </w:rPr>
        <w:t>．北京：中央文献出版社，</w:t>
      </w:r>
      <w:r>
        <w:rPr>
          <w:rFonts w:ascii="宋体" w:hAnsi="宋体" w:eastAsia="宋体" w:cs="宋体"/>
          <w:color w:val="000000"/>
          <w:sz w:val="21"/>
          <w:szCs w:val="21"/>
        </w:rPr>
        <w:t>2014</w:t>
      </w:r>
      <w:r>
        <w:rPr>
          <w:rFonts w:hint="eastAsia" w:ascii="宋体" w:hAnsi="宋体" w:eastAsia="宋体" w:cs="宋体"/>
          <w:color w:val="000000"/>
          <w:sz w:val="21"/>
          <w:szCs w:val="21"/>
        </w:rPr>
        <w:t>；</w:t>
      </w:r>
    </w:p>
    <w:p>
      <w:pPr>
        <w:adjustRightInd/>
        <w:snapToGrid/>
        <w:spacing w:before="100" w:beforeAutospacing="1" w:after="100" w:afterAutospacing="1"/>
        <w:ind w:firstLine="210"/>
        <w:rPr>
          <w:rFonts w:ascii="宋体" w:hAnsi="宋体" w:eastAsia="宋体" w:cs="宋体"/>
          <w:color w:val="000000"/>
          <w:sz w:val="21"/>
          <w:szCs w:val="21"/>
        </w:rPr>
      </w:pPr>
      <w:r>
        <w:rPr>
          <w:rFonts w:ascii="宋体" w:hAnsi="宋体" w:eastAsia="宋体" w:cs="宋体"/>
          <w:color w:val="000000"/>
          <w:sz w:val="21"/>
          <w:szCs w:val="21"/>
        </w:rPr>
        <w:t>4. </w:t>
      </w:r>
      <w:r>
        <w:rPr>
          <w:rFonts w:hint="eastAsia" w:ascii="宋体" w:hAnsi="宋体" w:eastAsia="宋体" w:cs="宋体"/>
          <w:color w:val="000000"/>
          <w:sz w:val="21"/>
          <w:szCs w:val="21"/>
        </w:rPr>
        <w:t>《求是》、《半月谈》、《瞭望》、《参考消息》等其它时事性期刊杂志、报纸等；</w:t>
      </w:r>
    </w:p>
    <w:p>
      <w:pPr>
        <w:adjustRightInd/>
        <w:snapToGrid/>
        <w:spacing w:before="100" w:beforeAutospacing="1" w:after="100" w:afterAutospacing="1"/>
        <w:ind w:firstLine="210"/>
        <w:rPr>
          <w:rFonts w:ascii="宋体" w:hAnsi="宋体" w:eastAsia="宋体" w:cs="宋体"/>
          <w:color w:val="000000"/>
          <w:sz w:val="21"/>
          <w:szCs w:val="21"/>
        </w:rPr>
      </w:pPr>
      <w:r>
        <w:rPr>
          <w:rFonts w:ascii="宋体" w:hAnsi="宋体" w:eastAsia="宋体" w:cs="宋体"/>
          <w:color w:val="000000"/>
          <w:sz w:val="21"/>
          <w:szCs w:val="21"/>
        </w:rPr>
        <w:t>5.  </w:t>
      </w:r>
      <w:r>
        <w:rPr>
          <w:rFonts w:hint="eastAsia" w:ascii="宋体" w:hAnsi="宋体" w:eastAsia="宋体" w:cs="宋体"/>
          <w:color w:val="000000"/>
          <w:sz w:val="21"/>
          <w:szCs w:val="21"/>
        </w:rPr>
        <w:t>学习网站：人民网、新华网、光明网等。</w:t>
      </w:r>
    </w:p>
    <w:p>
      <w:pPr>
        <w:spacing w:line="220" w:lineRule="atLeast"/>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华文中宋">
    <w:altName w:val="宋体"/>
    <w:panose1 w:val="00000000000000000000"/>
    <w:charset w:val="86"/>
    <w:family w:val="auto"/>
    <w:pitch w:val="default"/>
    <w:sig w:usb0="00000000" w:usb1="00000000" w:usb2="00000010" w:usb3="00000000" w:csb0="0004009F" w:csb1="00000000"/>
  </w:font>
  <w:font w:name="Verdana">
    <w:panose1 w:val="020B0604030504040204"/>
    <w:charset w:val="00"/>
    <w:family w:val="swiss"/>
    <w:pitch w:val="default"/>
    <w:sig w:usb0="A10006FF" w:usb1="4000205B" w:usb2="00000010" w:usb3="00000000" w:csb0="2000019F" w:csb1="00000000"/>
  </w:font>
  <w:font w:name="华文楷体">
    <w:altName w:val="微软雅黑"/>
    <w:panose1 w:val="00000000000000000000"/>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r>
      <w:rPr>
        <w:rFonts w:ascii="华文楷体" w:hAnsi="华文楷体" w:eastAsia="华文楷体"/>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noLineBreaksAfter w:lang="zh-CN" w:val="$([{£¥·‘“〈《「『【〔〖〝﹙﹛﹝＄（．［｛￡￥"/>
  <w:noLineBreaksBefore w:lang="zh-CN" w:val="!%),.:;&gt;?]}¢¨°·ˇˉ―‖’”…‰′″›℃∶、。〃〉》」』】〕〗〞︶︺︾﹀﹄﹚﹜﹞！＂％＇），．：；？］｀｜｝～￠"/>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D50"/>
    <w:rsid w:val="00085FE3"/>
    <w:rsid w:val="000D4793"/>
    <w:rsid w:val="000E755F"/>
    <w:rsid w:val="00137524"/>
    <w:rsid w:val="00155956"/>
    <w:rsid w:val="00257C85"/>
    <w:rsid w:val="002C1451"/>
    <w:rsid w:val="002D5D9D"/>
    <w:rsid w:val="00323B43"/>
    <w:rsid w:val="003B4575"/>
    <w:rsid w:val="003D37D8"/>
    <w:rsid w:val="003E53AA"/>
    <w:rsid w:val="003F7D02"/>
    <w:rsid w:val="00426133"/>
    <w:rsid w:val="004358AB"/>
    <w:rsid w:val="004D0BC9"/>
    <w:rsid w:val="004F6B19"/>
    <w:rsid w:val="005966FC"/>
    <w:rsid w:val="00596931"/>
    <w:rsid w:val="005D13AA"/>
    <w:rsid w:val="00660096"/>
    <w:rsid w:val="006B3EEF"/>
    <w:rsid w:val="00770E12"/>
    <w:rsid w:val="007B322A"/>
    <w:rsid w:val="008460B7"/>
    <w:rsid w:val="00860BF3"/>
    <w:rsid w:val="008B7726"/>
    <w:rsid w:val="008F0A75"/>
    <w:rsid w:val="009017CE"/>
    <w:rsid w:val="0097260E"/>
    <w:rsid w:val="009A5573"/>
    <w:rsid w:val="00A0194D"/>
    <w:rsid w:val="00A437AF"/>
    <w:rsid w:val="00A44401"/>
    <w:rsid w:val="00A4455B"/>
    <w:rsid w:val="00AB1C46"/>
    <w:rsid w:val="00AC08BC"/>
    <w:rsid w:val="00AD7AAF"/>
    <w:rsid w:val="00B26E81"/>
    <w:rsid w:val="00B668B3"/>
    <w:rsid w:val="00BA64F3"/>
    <w:rsid w:val="00BB6C5E"/>
    <w:rsid w:val="00C160E1"/>
    <w:rsid w:val="00C45C85"/>
    <w:rsid w:val="00C471E6"/>
    <w:rsid w:val="00CF08FF"/>
    <w:rsid w:val="00D31D50"/>
    <w:rsid w:val="00D4645D"/>
    <w:rsid w:val="00DC70BA"/>
    <w:rsid w:val="00DD15BF"/>
    <w:rsid w:val="00DE19B1"/>
    <w:rsid w:val="00E31E39"/>
    <w:rsid w:val="00E517DA"/>
    <w:rsid w:val="00EA74AA"/>
    <w:rsid w:val="00EC1090"/>
    <w:rsid w:val="00EF0E26"/>
    <w:rsid w:val="00F001B0"/>
    <w:rsid w:val="00F00F5F"/>
    <w:rsid w:val="00F924BD"/>
    <w:rsid w:val="00FB3B0E"/>
    <w:rsid w:val="053402C1"/>
    <w:rsid w:val="3EBB6E8D"/>
    <w:rsid w:val="75D7349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kern w:val="0"/>
      <w:sz w:val="22"/>
      <w:szCs w:val="22"/>
      <w:lang w:val="en-US" w:eastAsia="zh-CN" w:bidi="ar-SA"/>
    </w:rPr>
  </w:style>
  <w:style w:type="character" w:default="1" w:styleId="6">
    <w:name w:val="Default Paragraph Font"/>
    <w:semiHidden/>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9"/>
    <w:uiPriority w:val="99"/>
    <w:pPr>
      <w:widowControl w:val="0"/>
      <w:adjustRightInd/>
      <w:snapToGrid/>
      <w:spacing w:after="0"/>
      <w:jc w:val="both"/>
    </w:pPr>
    <w:rPr>
      <w:rFonts w:ascii="宋体" w:hAnsi="Courier New" w:eastAsia="宋体" w:cs="Courier New"/>
      <w:kern w:val="2"/>
      <w:sz w:val="21"/>
      <w:szCs w:val="21"/>
    </w:rPr>
  </w:style>
  <w:style w:type="paragraph" w:styleId="3">
    <w:name w:val="Balloon Text"/>
    <w:basedOn w:val="1"/>
    <w:link w:val="10"/>
    <w:semiHidden/>
    <w:qFormat/>
    <w:uiPriority w:val="99"/>
    <w:pPr>
      <w:spacing w:after="0"/>
    </w:pPr>
    <w:rPr>
      <w:sz w:val="18"/>
      <w:szCs w:val="18"/>
    </w:rPr>
  </w:style>
  <w:style w:type="paragraph" w:styleId="4">
    <w:name w:val="footer"/>
    <w:basedOn w:val="1"/>
    <w:link w:val="11"/>
    <w:uiPriority w:val="99"/>
    <w:pPr>
      <w:tabs>
        <w:tab w:val="center" w:pos="4153"/>
        <w:tab w:val="right" w:pos="8306"/>
      </w:tabs>
    </w:pPr>
    <w:rPr>
      <w:sz w:val="18"/>
      <w:szCs w:val="18"/>
    </w:rPr>
  </w:style>
  <w:style w:type="paragraph" w:styleId="5">
    <w:name w:val="header"/>
    <w:basedOn w:val="1"/>
    <w:link w:val="12"/>
    <w:qFormat/>
    <w:uiPriority w:val="99"/>
    <w:pPr>
      <w:pBdr>
        <w:bottom w:val="single" w:color="auto" w:sz="6" w:space="1"/>
      </w:pBdr>
      <w:tabs>
        <w:tab w:val="center" w:pos="4153"/>
        <w:tab w:val="right" w:pos="8306"/>
      </w:tabs>
      <w:jc w:val="center"/>
    </w:pPr>
    <w:rPr>
      <w:sz w:val="18"/>
      <w:szCs w:val="18"/>
    </w:rPr>
  </w:style>
  <w:style w:type="character" w:styleId="7">
    <w:name w:val="Hyperlink"/>
    <w:basedOn w:val="6"/>
    <w:qFormat/>
    <w:uiPriority w:val="99"/>
    <w:rPr>
      <w:rFonts w:cs="Times New Roman"/>
      <w:color w:val="0000FF"/>
      <w:u w:val="single"/>
    </w:rPr>
  </w:style>
  <w:style w:type="character" w:customStyle="1" w:styleId="9">
    <w:name w:val="Plain Text Char"/>
    <w:basedOn w:val="6"/>
    <w:link w:val="2"/>
    <w:qFormat/>
    <w:locked/>
    <w:uiPriority w:val="99"/>
    <w:rPr>
      <w:rFonts w:ascii="宋体" w:hAnsi="Courier New" w:eastAsia="宋体" w:cs="Courier New"/>
      <w:kern w:val="2"/>
      <w:sz w:val="21"/>
      <w:szCs w:val="21"/>
    </w:rPr>
  </w:style>
  <w:style w:type="character" w:customStyle="1" w:styleId="10">
    <w:name w:val="Balloon Text Char"/>
    <w:basedOn w:val="6"/>
    <w:link w:val="3"/>
    <w:semiHidden/>
    <w:qFormat/>
    <w:locked/>
    <w:uiPriority w:val="99"/>
    <w:rPr>
      <w:rFonts w:ascii="Tahoma" w:hAnsi="Tahoma" w:cs="Times New Roman"/>
      <w:sz w:val="18"/>
      <w:szCs w:val="18"/>
    </w:rPr>
  </w:style>
  <w:style w:type="character" w:customStyle="1" w:styleId="11">
    <w:name w:val="Footer Char"/>
    <w:basedOn w:val="6"/>
    <w:link w:val="4"/>
    <w:qFormat/>
    <w:locked/>
    <w:uiPriority w:val="99"/>
    <w:rPr>
      <w:rFonts w:ascii="Tahoma" w:hAnsi="Tahoma" w:cs="Times New Roman"/>
      <w:sz w:val="18"/>
      <w:szCs w:val="18"/>
    </w:rPr>
  </w:style>
  <w:style w:type="character" w:customStyle="1" w:styleId="12">
    <w:name w:val="Header Char"/>
    <w:basedOn w:val="6"/>
    <w:link w:val="5"/>
    <w:qFormat/>
    <w:locked/>
    <w:uiPriority w:val="99"/>
    <w:rPr>
      <w:rFonts w:ascii="Tahoma" w:hAnsi="Tahoma" w:cs="Times New Roman"/>
      <w:sz w:val="18"/>
      <w:szCs w:val="18"/>
    </w:rPr>
  </w:style>
  <w:style w:type="paragraph" w:customStyle="1" w:styleId="13">
    <w:name w:val="Char"/>
    <w:basedOn w:val="1"/>
    <w:qFormat/>
    <w:uiPriority w:val="99"/>
    <w:pPr>
      <w:widowControl w:val="0"/>
      <w:adjustRightInd/>
      <w:snapToGrid/>
      <w:spacing w:after="0"/>
      <w:jc w:val="both"/>
    </w:pPr>
    <w:rPr>
      <w:rFonts w:eastAsia="宋体" w:cs="Arial"/>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Pages>
  <Words>124</Words>
  <Characters>711</Characters>
  <Lines>0</Lines>
  <Paragraphs>0</Paragraphs>
  <TotalTime>2</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2018-06-22T01:39:00Z</dcterms:created>
  <dc:creator>Administrator</dc:creator>
  <cp:lastModifiedBy>Administrator</cp:lastModifiedBy>
  <dcterms:modified xsi:type="dcterms:W3CDTF">2018-09-19T07:34:56Z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