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ascii="黑体" w:hAnsi="Times New Roman" w:eastAsia="黑体" w:cs="Times New Roman"/>
          <w:sz w:val="36"/>
          <w:szCs w:val="36"/>
        </w:rPr>
      </w:pPr>
      <w:r>
        <w:rPr>
          <w:rFonts w:hint="eastAsia" w:ascii="黑体" w:hAnsi="Times New Roman" w:eastAsia="黑体" w:cs="Times New Roman"/>
          <w:sz w:val="36"/>
          <w:szCs w:val="36"/>
        </w:rPr>
        <w:t>微积分</w:t>
      </w:r>
      <w:r>
        <w:rPr>
          <w:rFonts w:ascii="Times New Roman" w:hAnsi="Times New Roman" w:eastAsia="黑体" w:cs="Times New Roman"/>
          <w:sz w:val="36"/>
          <w:szCs w:val="36"/>
        </w:rPr>
        <w:t>I</w:t>
      </w:r>
      <w:r>
        <w:rPr>
          <w:rFonts w:hint="eastAsia" w:ascii="黑体" w:hAnsi="Times New Roman" w:eastAsia="黑体" w:cs="Times New Roman"/>
          <w:sz w:val="36"/>
          <w:szCs w:val="36"/>
        </w:rPr>
        <w:t>课程简介</w:t>
      </w:r>
    </w:p>
    <w:p>
      <w:pPr>
        <w:pStyle w:val="2"/>
        <w:spacing w:line="360" w:lineRule="auto"/>
        <w:jc w:val="left"/>
        <w:rPr>
          <w:rFonts w:hint="eastAsia" w:ascii="黑体" w:hAnsi="华文中宋" w:eastAsia="黑体" w:cs="Times New Roman"/>
        </w:rPr>
      </w:pPr>
    </w:p>
    <w:p>
      <w:pPr>
        <w:pStyle w:val="2"/>
        <w:spacing w:line="360" w:lineRule="auto"/>
        <w:jc w:val="left"/>
        <w:rPr>
          <w:rFonts w:hint="eastAsia" w:ascii="黑体" w:hAnsi="华文中宋" w:eastAsia="黑体" w:cs="Times New Roman"/>
          <w:sz w:val="24"/>
          <w:szCs w:val="24"/>
        </w:rPr>
      </w:pPr>
      <w:r>
        <w:rPr>
          <w:rFonts w:hint="eastAsia" w:ascii="黑体" w:hAnsi="华文中宋" w:eastAsia="黑体" w:cs="Times New Roman"/>
          <w:sz w:val="24"/>
          <w:szCs w:val="24"/>
        </w:rPr>
        <w:t>课程名称（中文）：</w:t>
      </w:r>
      <w:r>
        <w:rPr>
          <w:rFonts w:hint="eastAsia" w:hAnsi="宋体" w:cs="Times New Roman"/>
          <w:sz w:val="24"/>
          <w:szCs w:val="24"/>
        </w:rPr>
        <w:t>微积分I</w:t>
      </w:r>
      <w:r>
        <w:rPr>
          <w:rFonts w:hint="eastAsia" w:ascii="黑体" w:hAnsi="华文中宋" w:eastAsia="黑体" w:cs="Times New Roman"/>
          <w:sz w:val="24"/>
          <w:szCs w:val="24"/>
        </w:rPr>
        <w:t xml:space="preserve">           </w:t>
      </w:r>
      <w:r>
        <w:rPr>
          <w:rFonts w:hint="eastAsia" w:ascii="黑体" w:hAnsi="Times New Roman" w:eastAsia="黑体" w:cs="Times New Roman"/>
          <w:sz w:val="24"/>
          <w:szCs w:val="24"/>
        </w:rPr>
        <w:t>课程性质：</w:t>
      </w:r>
      <w:r>
        <w:rPr>
          <w:rFonts w:hint="eastAsia" w:hAnsi="宋体" w:cs="Times New Roman"/>
          <w:sz w:val="24"/>
          <w:szCs w:val="24"/>
        </w:rPr>
        <w:t>学科基础必修课</w:t>
      </w:r>
    </w:p>
    <w:p>
      <w:pPr>
        <w:pStyle w:val="2"/>
        <w:spacing w:line="360" w:lineRule="auto"/>
        <w:ind w:firstLine="960" w:firstLineChars="400"/>
        <w:jc w:val="left"/>
        <w:rPr>
          <w:rFonts w:hint="eastAsia" w:ascii="黑体" w:hAnsi="华文中宋" w:eastAsia="黑体" w:cs="Times New Roman"/>
          <w:sz w:val="24"/>
          <w:szCs w:val="24"/>
        </w:rPr>
      </w:pPr>
      <w:r>
        <w:rPr>
          <w:rFonts w:hint="eastAsia" w:ascii="Times New Roman" w:hAnsi="Times New Roman" w:eastAsia="黑体" w:cs="Times New Roman"/>
          <w:sz w:val="24"/>
          <w:szCs w:val="24"/>
        </w:rPr>
        <w:t>（英文）：</w:t>
      </w:r>
      <w:r>
        <w:rPr>
          <w:rFonts w:hint="eastAsia" w:ascii="Arial" w:hAnsi="Arial" w:cs="Arial"/>
          <w:color w:val="333333"/>
          <w:sz w:val="23"/>
          <w:szCs w:val="23"/>
        </w:rPr>
        <w:t>C</w:t>
      </w:r>
      <w:r>
        <w:rPr>
          <w:rFonts w:ascii="Arial" w:hAnsi="Arial" w:cs="Arial"/>
          <w:color w:val="333333"/>
          <w:sz w:val="23"/>
          <w:szCs w:val="23"/>
        </w:rPr>
        <w:t>alculus I</w:t>
      </w:r>
    </w:p>
    <w:p>
      <w:pPr>
        <w:pStyle w:val="2"/>
        <w:spacing w:line="360" w:lineRule="auto"/>
        <w:jc w:val="left"/>
        <w:rPr>
          <w:rFonts w:hint="eastAsia" w:ascii="黑体" w:hAnsi="Times New Roman" w:eastAsia="黑体" w:cs="Times New Roman"/>
          <w:sz w:val="24"/>
          <w:szCs w:val="24"/>
        </w:rPr>
      </w:pPr>
      <w:r>
        <w:rPr>
          <w:rFonts w:hint="eastAsia" w:ascii="黑体" w:hAnsi="Times New Roman" w:eastAsia="黑体" w:cs="Times New Roman"/>
          <w:sz w:val="24"/>
          <w:szCs w:val="24"/>
        </w:rPr>
        <w:t>课程编号</w:t>
      </w:r>
      <w:r>
        <w:rPr>
          <w:rFonts w:hint="eastAsia" w:ascii="Times New Roman" w:hAnsi="Times New Roman" w:cs="Times New Roman"/>
          <w:sz w:val="24"/>
          <w:szCs w:val="24"/>
        </w:rPr>
        <w:t>：</w:t>
      </w:r>
      <w:r>
        <w:rPr>
          <w:rFonts w:ascii="Times New Roman" w:hAnsi="Times New Roman" w:cs="Times New Roman"/>
          <w:sz w:val="24"/>
          <w:szCs w:val="24"/>
        </w:rPr>
        <w:t>30001000</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黑体" w:hAnsi="Times New Roman" w:eastAsia="黑体" w:cs="Times New Roman"/>
          <w:sz w:val="24"/>
          <w:szCs w:val="24"/>
        </w:rPr>
        <w:t>开课单位：</w:t>
      </w:r>
      <w:r>
        <w:rPr>
          <w:rFonts w:hint="eastAsia" w:hAnsi="宋体" w:cs="Times New Roman"/>
          <w:sz w:val="24"/>
          <w:szCs w:val="24"/>
        </w:rPr>
        <w:t>基础教学部</w:t>
      </w:r>
    </w:p>
    <w:p>
      <w:pPr>
        <w:pStyle w:val="2"/>
        <w:spacing w:line="360" w:lineRule="auto"/>
        <w:jc w:val="left"/>
        <w:rPr>
          <w:rFonts w:hAnsi="宋体" w:cs="Times New Roman"/>
          <w:sz w:val="24"/>
          <w:szCs w:val="24"/>
        </w:rPr>
      </w:pPr>
      <w:r>
        <w:rPr>
          <w:rFonts w:hint="eastAsia" w:ascii="黑体" w:hAnsi="Times New Roman" w:eastAsia="黑体" w:cs="Times New Roman"/>
          <w:sz w:val="24"/>
          <w:szCs w:val="24"/>
        </w:rPr>
        <w:t>学    分</w:t>
      </w:r>
      <w:r>
        <w:rPr>
          <w:rFonts w:hint="eastAsia" w:ascii="Times New Roman" w:hAnsi="Times New Roman" w:cs="Times New Roman"/>
          <w:sz w:val="24"/>
          <w:szCs w:val="24"/>
        </w:rPr>
        <w:t>：</w:t>
      </w:r>
      <w:r>
        <w:rPr>
          <w:rFonts w:hAnsi="宋体" w:cs="Times New Roman"/>
          <w:sz w:val="24"/>
          <w:szCs w:val="24"/>
        </w:rPr>
        <w:t>3</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黑体" w:hAnsi="Times New Roman" w:eastAsia="黑体" w:cs="Times New Roman"/>
          <w:sz w:val="24"/>
          <w:szCs w:val="24"/>
        </w:rPr>
        <w:t>总 学 时：</w:t>
      </w:r>
      <w:r>
        <w:rPr>
          <w:rFonts w:hAnsi="宋体" w:cs="Times New Roman"/>
          <w:sz w:val="24"/>
          <w:szCs w:val="24"/>
        </w:rPr>
        <w:t>48</w:t>
      </w:r>
    </w:p>
    <w:p>
      <w:pPr>
        <w:pStyle w:val="2"/>
        <w:spacing w:line="360" w:lineRule="auto"/>
        <w:jc w:val="left"/>
        <w:rPr>
          <w:rFonts w:ascii="Times New Roman" w:hAnsi="Times New Roman" w:cs="Times New Roman"/>
          <w:sz w:val="24"/>
          <w:szCs w:val="24"/>
        </w:rPr>
      </w:pPr>
      <w:r>
        <w:rPr>
          <w:rFonts w:hint="eastAsia" w:ascii="黑体" w:hAnsi="黑体" w:eastAsia="黑体" w:cs="Times New Roman"/>
          <w:sz w:val="24"/>
          <w:szCs w:val="24"/>
        </w:rPr>
        <w:t>先修课程</w:t>
      </w:r>
      <w:r>
        <w:rPr>
          <w:rFonts w:hint="eastAsia" w:ascii="Times New Roman" w:hAnsi="Times New Roman" w:cs="Times New Roman"/>
          <w:sz w:val="24"/>
          <w:szCs w:val="24"/>
        </w:rPr>
        <w:t xml:space="preserve">：初等数学 </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黑体" w:hAnsi="黑体" w:eastAsia="黑体" w:cs="Times New Roman"/>
          <w:sz w:val="24"/>
          <w:szCs w:val="24"/>
        </w:rPr>
        <w:t>适用对象</w:t>
      </w:r>
      <w:r>
        <w:rPr>
          <w:rFonts w:hint="eastAsia" w:ascii="Times New Roman" w:hAnsi="Times New Roman" w:cs="Times New Roman"/>
          <w:sz w:val="24"/>
          <w:szCs w:val="24"/>
        </w:rPr>
        <w:t>：经济类、管理类本科专业</w:t>
      </w:r>
    </w:p>
    <w:p>
      <w:pPr>
        <w:pStyle w:val="2"/>
        <w:spacing w:line="360" w:lineRule="auto"/>
        <w:jc w:val="left"/>
        <w:rPr>
          <w:rFonts w:hint="eastAsia" w:ascii="Times New Roman" w:hAnsi="Times New Roman" w:cs="Times New Roman"/>
          <w:sz w:val="24"/>
          <w:szCs w:val="24"/>
        </w:rPr>
      </w:pPr>
      <w:bookmarkStart w:id="0" w:name="_GoBack"/>
      <w:bookmarkEnd w:id="0"/>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pStyle w:val="2"/>
        <w:spacing w:line="360" w:lineRule="auto"/>
        <w:ind w:firstLine="480" w:firstLineChars="200"/>
        <w:rPr>
          <w:rFonts w:hAnsi="宋体" w:cs="宋体"/>
          <w:bCs/>
          <w:color w:val="000000"/>
          <w:kern w:val="0"/>
          <w:sz w:val="24"/>
          <w:szCs w:val="24"/>
          <w:lang w:bidi="th-TH"/>
        </w:rPr>
      </w:pPr>
      <w:r>
        <w:rPr>
          <w:rFonts w:hint="eastAsia" w:hAnsi="宋体" w:cs="宋体"/>
          <w:bCs/>
          <w:color w:val="000000"/>
          <w:kern w:val="0"/>
          <w:sz w:val="24"/>
          <w:szCs w:val="24"/>
          <w:lang w:bidi="th-TH"/>
        </w:rPr>
        <w:t>《微积分</w:t>
      </w:r>
      <w:r>
        <w:rPr>
          <w:rFonts w:hAnsi="宋体" w:cs="宋体"/>
          <w:bCs/>
          <w:color w:val="000000"/>
          <w:kern w:val="0"/>
          <w:sz w:val="24"/>
          <w:szCs w:val="24"/>
          <w:lang w:bidi="th-TH"/>
        </w:rPr>
        <w:t>I</w:t>
      </w:r>
      <w:r>
        <w:rPr>
          <w:rFonts w:hint="eastAsia" w:hAnsi="宋体" w:cs="宋体"/>
          <w:bCs/>
          <w:color w:val="000000"/>
          <w:kern w:val="0"/>
          <w:sz w:val="24"/>
          <w:szCs w:val="24"/>
          <w:lang w:bidi="th-TH"/>
        </w:rPr>
        <w:t>》是财经类院校核心课程之一，是经济、管理类各专业的公共基础课，是从事经济数量分析的重要数学基础和有力工具。主要内容为函数、极限与连续、导数与微分、中值定理和导数应用、不定积分、定积分、多元函数微积分学、无穷级数、微分方程等。</w:t>
      </w:r>
    </w:p>
    <w:p>
      <w:pPr>
        <w:pStyle w:val="2"/>
        <w:spacing w:line="360" w:lineRule="auto"/>
        <w:ind w:firstLine="480" w:firstLineChars="200"/>
        <w:rPr>
          <w:rFonts w:hint="eastAsia" w:ascii="Times New Roman" w:hAnsi="Times New Roman" w:cs="Times New Roman"/>
          <w:sz w:val="24"/>
          <w:szCs w:val="24"/>
        </w:rPr>
      </w:pPr>
      <w:r>
        <w:rPr>
          <w:rFonts w:hint="eastAsia" w:hAnsi="宋体" w:cs="宋体"/>
          <w:bCs/>
          <w:color w:val="000000"/>
          <w:kern w:val="0"/>
          <w:sz w:val="24"/>
          <w:szCs w:val="24"/>
          <w:lang w:bidi="th-TH"/>
        </w:rPr>
        <w:t>通过本课程的教学，使学生能全面理解和掌握微积分的基本知识、基本理论、基本内容、基本运算方法和分析方法，学会理性的数学思维技术和模式；培养学生的创新意识和动手能力，注意培养学生比较熟练的计算能力、抽象思维能力与逻辑推理能力、几何直观和空间想象能力与自学能力；使学生受到数学分析方法和运用这些方法解决经济管理等实际问题的初步训练，获得从事现代经济管理和分析解决经济管理问题必须具备的基础知识，掌握其有关的基础理论和基本计算方法；提高学生用变量数学观点分析和解决经济管理问题的能力，并为《概率论与数理统计》、《西方经济学》等后继课程的学习和进一步深造打下坚实的基础。</w:t>
      </w:r>
    </w:p>
    <w:p>
      <w:pPr>
        <w:pStyle w:val="2"/>
        <w:spacing w:line="360" w:lineRule="auto"/>
        <w:jc w:val="left"/>
        <w:rPr>
          <w:rFonts w:hint="eastAsia" w:ascii="Times New Roman" w:hAnsi="Times New Roman" w:cs="Times New Roman"/>
          <w:sz w:val="24"/>
          <w:szCs w:val="24"/>
        </w:rPr>
      </w:pPr>
      <w:r>
        <w:rPr>
          <w:rFonts w:ascii="Times New Roman" w:hAnsi="Times New Roman" w:cs="Times New Roman"/>
          <w:sz w:val="24"/>
          <w:szCs w:val="24"/>
        </w:rPr>
        <w:tab/>
      </w:r>
      <w:r>
        <w:rPr>
          <w:rFonts w:hint="eastAsia" w:ascii="Times New Roman" w:hAnsi="Times New Roman" w:cs="Times New Roman"/>
          <w:sz w:val="24"/>
          <w:szCs w:val="24"/>
        </w:rPr>
        <w:t xml:space="preserve">                     </w:t>
      </w:r>
    </w:p>
    <w:p>
      <w:pPr>
        <w:spacing w:line="360" w:lineRule="auto"/>
        <w:jc w:val="left"/>
        <w:rPr>
          <w:rFonts w:hint="eastAsia"/>
          <w:sz w:val="24"/>
        </w:rPr>
      </w:pPr>
      <w:r>
        <w:rPr>
          <w:rFonts w:hint="eastAsia" w:ascii="黑体" w:eastAsia="黑体"/>
          <w:sz w:val="24"/>
        </w:rPr>
        <w:t>参考书目</w:t>
      </w:r>
      <w:r>
        <w:rPr>
          <w:rFonts w:hint="eastAsia"/>
          <w:sz w:val="24"/>
        </w:rPr>
        <w:t>：</w:t>
      </w:r>
    </w:p>
    <w:p>
      <w:pPr>
        <w:spacing w:line="360" w:lineRule="auto"/>
        <w:rPr>
          <w:rFonts w:hint="eastAsia" w:ascii="宋体" w:hAnsi="宋体"/>
          <w:bCs/>
          <w:sz w:val="24"/>
        </w:rPr>
      </w:pPr>
      <w:r>
        <w:rPr>
          <w:rFonts w:hint="eastAsia" w:ascii="宋体" w:hAnsi="宋体"/>
          <w:bCs/>
          <w:sz w:val="24"/>
        </w:rPr>
        <w:t>1、同济大学数学系编《高等数学》，高等教育出版社，2014.7；</w:t>
      </w:r>
    </w:p>
    <w:p>
      <w:pPr>
        <w:spacing w:line="360" w:lineRule="auto"/>
        <w:rPr>
          <w:rFonts w:hint="eastAsia" w:ascii="宋体" w:hAnsi="宋体"/>
          <w:bCs/>
          <w:sz w:val="24"/>
        </w:rPr>
      </w:pPr>
      <w:r>
        <w:rPr>
          <w:rFonts w:ascii="宋体" w:hAnsi="宋体"/>
          <w:bCs/>
          <w:sz w:val="24"/>
        </w:rPr>
        <w:t>2</w:t>
      </w:r>
      <w:r>
        <w:rPr>
          <w:rFonts w:hint="eastAsia" w:ascii="宋体" w:hAnsi="宋体"/>
          <w:bCs/>
          <w:sz w:val="24"/>
        </w:rPr>
        <w:t>、华东师范大学数学系编《数学分析》，高等教育出版社，201</w:t>
      </w:r>
      <w:r>
        <w:rPr>
          <w:rFonts w:ascii="宋体" w:hAnsi="宋体"/>
          <w:bCs/>
          <w:sz w:val="24"/>
        </w:rPr>
        <w:t>4</w:t>
      </w:r>
      <w:r>
        <w:rPr>
          <w:rFonts w:hint="eastAsia" w:ascii="宋体" w:hAnsi="宋体"/>
          <w:bCs/>
          <w:sz w:val="24"/>
        </w:rPr>
        <w:t>.</w:t>
      </w:r>
      <w:r>
        <w:rPr>
          <w:rFonts w:ascii="宋体" w:hAnsi="宋体"/>
          <w:bCs/>
          <w:sz w:val="24"/>
        </w:rPr>
        <w:t>9</w:t>
      </w:r>
      <w:r>
        <w:rPr>
          <w:rFonts w:hint="eastAsia" w:ascii="宋体" w:hAnsi="宋体"/>
          <w:bCs/>
          <w:sz w:val="24"/>
        </w:rPr>
        <w:t>；</w:t>
      </w:r>
    </w:p>
    <w:p>
      <w:pPr>
        <w:spacing w:line="360" w:lineRule="auto"/>
        <w:rPr>
          <w:rFonts w:hint="eastAsia" w:ascii="宋体" w:hAnsi="宋体"/>
          <w:bCs/>
          <w:sz w:val="24"/>
        </w:rPr>
      </w:pPr>
      <w:r>
        <w:rPr>
          <w:rFonts w:ascii="宋体" w:hAnsi="宋体"/>
          <w:bCs/>
          <w:sz w:val="24"/>
        </w:rPr>
        <w:t>3</w:t>
      </w:r>
      <w:r>
        <w:rPr>
          <w:rFonts w:hint="eastAsia" w:ascii="宋体" w:hAnsi="宋体"/>
          <w:bCs/>
          <w:sz w:val="24"/>
        </w:rPr>
        <w:t>、赵树嫄主编《微积分》，中国人民大学出版社，201</w:t>
      </w:r>
      <w:r>
        <w:rPr>
          <w:rFonts w:ascii="宋体" w:hAnsi="宋体"/>
          <w:bCs/>
          <w:sz w:val="24"/>
        </w:rPr>
        <w:t>6</w:t>
      </w:r>
      <w:r>
        <w:rPr>
          <w:rFonts w:hint="eastAsia" w:ascii="宋体" w:hAnsi="宋体"/>
          <w:bCs/>
          <w:sz w:val="24"/>
        </w:rPr>
        <w:t>.</w:t>
      </w:r>
      <w:r>
        <w:rPr>
          <w:rFonts w:ascii="宋体" w:hAnsi="宋体"/>
          <w:bCs/>
          <w:sz w:val="24"/>
        </w:rPr>
        <w:t>8</w:t>
      </w:r>
      <w:r>
        <w:rPr>
          <w:rFonts w:hint="eastAsia" w:ascii="宋体" w:hAnsi="宋体"/>
          <w:bCs/>
          <w:sz w:val="24"/>
        </w:rPr>
        <w:t>；</w:t>
      </w:r>
    </w:p>
    <w:p>
      <w:pPr>
        <w:rPr>
          <w:rFonts w:hint="eastAsia"/>
        </w:rPr>
      </w:pPr>
      <w:r>
        <w:rPr>
          <w:sz w:val="24"/>
        </w:rPr>
        <w:t>4</w:t>
      </w:r>
      <w:r>
        <w:rPr>
          <w:rFonts w:hint="eastAsia"/>
          <w:sz w:val="24"/>
        </w:rPr>
        <w:t>、吴赣昌，《微积分（第五版）经济数学》，中国人民大学出版社，</w:t>
      </w:r>
      <w:r>
        <w:rPr>
          <w:rFonts w:hint="eastAsia" w:ascii="宋体" w:hAnsi="宋体"/>
          <w:bCs/>
          <w:sz w:val="24"/>
        </w:rPr>
        <w:t>2017.7.</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 cy="182880"/>
                  </a:xfrm>
                  <a:prstGeom prst="rect">
                    <a:avLst/>
                  </a:prstGeom>
                  <a:noFill/>
                  <a:ln>
                    <a:noFill/>
                  </a:ln>
                </pic:spPr>
              </pic:pic>
            </a:graphicData>
          </a:graphic>
        </wp:inline>
      </w:drawing>
    </w:r>
    <w:r>
      <w:rPr>
        <w:rFonts w:hint="eastAsia" w:ascii="华文楷体" w:hAnsi="华文楷体" w:eastAsia="华文楷体"/>
      </w:rPr>
      <w:t xml:space="preserve">山东财经大学东方学院                                  </w:t>
    </w:r>
    <w:r>
      <w:rPr>
        <w:rFonts w:ascii="华文楷体" w:hAnsi="华文楷体" w:eastAsia="华文楷体"/>
      </w:rPr>
      <w:t xml:space="preserve">                                              </w:t>
    </w:r>
    <w:r>
      <w:rPr>
        <w:rFonts w:hint="eastAsia" w:ascii="华文楷体" w:hAnsi="华文楷体" w:eastAsia="华文楷体"/>
      </w:rPr>
      <w:t xml:space="preserve">       </w:t>
    </w:r>
    <w:r>
      <w:rPr>
        <w:rFonts w:ascii="华文楷体" w:hAnsi="华文楷体" w:eastAsia="华文楷体"/>
      </w:rPr>
      <w:t xml:space="preserve"> </w:t>
    </w:r>
    <w:r>
      <w:rPr>
        <w:rFonts w:hint="eastAsia" w:ascii="华文楷体" w:hAnsi="华文楷体" w:eastAsia="华文楷体"/>
      </w:rPr>
      <w:t xml:space="preserve">                                  课程简介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155956"/>
    <w:rsid w:val="002C1451"/>
    <w:rsid w:val="002D5D9D"/>
    <w:rsid w:val="00323B43"/>
    <w:rsid w:val="003D37D8"/>
    <w:rsid w:val="00426133"/>
    <w:rsid w:val="004358AB"/>
    <w:rsid w:val="004D0BC9"/>
    <w:rsid w:val="005966FC"/>
    <w:rsid w:val="006B3EEF"/>
    <w:rsid w:val="00770E12"/>
    <w:rsid w:val="007B322A"/>
    <w:rsid w:val="00860BF3"/>
    <w:rsid w:val="008B7726"/>
    <w:rsid w:val="009017CE"/>
    <w:rsid w:val="00A44401"/>
    <w:rsid w:val="00AB1C46"/>
    <w:rsid w:val="00AC08BC"/>
    <w:rsid w:val="00AD7AAF"/>
    <w:rsid w:val="00B26E81"/>
    <w:rsid w:val="00B668B3"/>
    <w:rsid w:val="00BA64F3"/>
    <w:rsid w:val="00BB6C5E"/>
    <w:rsid w:val="00C160E1"/>
    <w:rsid w:val="00D31D50"/>
    <w:rsid w:val="00D4645D"/>
    <w:rsid w:val="00DD15BF"/>
    <w:rsid w:val="00E517DA"/>
    <w:rsid w:val="00EC1090"/>
    <w:rsid w:val="00EF0E26"/>
    <w:rsid w:val="00F001B0"/>
    <w:rsid w:val="00F00F5F"/>
    <w:rsid w:val="00F924BD"/>
    <w:rsid w:val="00FB3B0E"/>
    <w:rsid w:val="11B916E9"/>
    <w:rsid w:val="6EC97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uiPriority w:val="0"/>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2"/>
    <w:semiHidden/>
    <w:unhideWhenUsed/>
    <w:uiPriority w:val="99"/>
    <w:pPr>
      <w:spacing w:after="0"/>
    </w:pPr>
    <w:rPr>
      <w:sz w:val="18"/>
      <w:szCs w:val="18"/>
    </w:rPr>
  </w:style>
  <w:style w:type="paragraph" w:styleId="4">
    <w:name w:val="footer"/>
    <w:basedOn w:val="1"/>
    <w:link w:val="9"/>
    <w:unhideWhenUsed/>
    <w:uiPriority w:val="99"/>
    <w:pPr>
      <w:tabs>
        <w:tab w:val="center" w:pos="4153"/>
        <w:tab w:val="right" w:pos="8306"/>
      </w:tabs>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页眉 Char"/>
    <w:basedOn w:val="6"/>
    <w:link w:val="5"/>
    <w:qFormat/>
    <w:uiPriority w:val="99"/>
    <w:rPr>
      <w:rFonts w:ascii="Tahoma" w:hAnsi="Tahoma"/>
      <w:sz w:val="18"/>
      <w:szCs w:val="18"/>
    </w:rPr>
  </w:style>
  <w:style w:type="character" w:customStyle="1" w:styleId="9">
    <w:name w:val="页脚 Char"/>
    <w:basedOn w:val="6"/>
    <w:link w:val="4"/>
    <w:uiPriority w:val="99"/>
    <w:rPr>
      <w:rFonts w:ascii="Tahoma" w:hAnsi="Tahoma"/>
      <w:sz w:val="18"/>
      <w:szCs w:val="18"/>
    </w:rPr>
  </w:style>
  <w:style w:type="paragraph" w:customStyle="1" w:styleId="10">
    <w:name w:val="Char"/>
    <w:basedOn w:val="1"/>
    <w:uiPriority w:val="0"/>
    <w:pPr>
      <w:widowControl w:val="0"/>
      <w:adjustRightInd/>
      <w:snapToGrid/>
      <w:spacing w:after="0"/>
      <w:jc w:val="both"/>
    </w:pPr>
    <w:rPr>
      <w:rFonts w:eastAsia="宋体" w:cs="Arial"/>
      <w:kern w:val="2"/>
      <w:sz w:val="21"/>
      <w:szCs w:val="21"/>
    </w:rPr>
  </w:style>
  <w:style w:type="character" w:customStyle="1" w:styleId="11">
    <w:name w:val="纯文本 Char"/>
    <w:basedOn w:val="6"/>
    <w:link w:val="2"/>
    <w:uiPriority w:val="0"/>
    <w:rPr>
      <w:rFonts w:ascii="宋体" w:hAnsi="Courier New" w:eastAsia="宋体" w:cs="Courier New"/>
      <w:kern w:val="2"/>
      <w:sz w:val="21"/>
      <w:szCs w:val="21"/>
    </w:rPr>
  </w:style>
  <w:style w:type="character" w:customStyle="1" w:styleId="12">
    <w:name w:val="批注框文本 Char"/>
    <w:basedOn w:val="6"/>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C26A8E-4496-4CEA-B65E-2B0A670B2D59}">
  <ds:schemaRefs/>
</ds:datastoreItem>
</file>

<file path=docProps/app.xml><?xml version="1.0" encoding="utf-8"?>
<Properties xmlns="http://schemas.openxmlformats.org/officeDocument/2006/extended-properties" xmlns:vt="http://schemas.openxmlformats.org/officeDocument/2006/docPropsVTypes">
  <Template>Normal</Template>
  <Pages>1</Pages>
  <Words>88</Words>
  <Characters>504</Characters>
  <Lines>4</Lines>
  <Paragraphs>1</Paragraphs>
  <TotalTime>2</TotalTime>
  <ScaleCrop>false</ScaleCrop>
  <LinksUpToDate>false</LinksUpToDate>
  <CharactersWithSpaces>591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Administrator</cp:lastModifiedBy>
  <dcterms:modified xsi:type="dcterms:W3CDTF">2018-09-19T06:21:06Z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