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黑体" w:hAnsi="Times New Roman" w:eastAsia="黑体" w:cs="Times New Roman"/>
          <w:sz w:val="36"/>
          <w:szCs w:val="36"/>
        </w:rPr>
      </w:pPr>
      <w:r>
        <w:rPr>
          <w:rFonts w:hint="eastAsia" w:ascii="黑体" w:hAnsi="Times New Roman" w:eastAsia="黑体" w:cs="Times New Roman"/>
          <w:sz w:val="36"/>
          <w:szCs w:val="36"/>
        </w:rPr>
        <w:t>经济数学基础</w:t>
      </w:r>
      <w:r>
        <w:rPr>
          <w:rFonts w:ascii="Times New Roman" w:hAnsi="Times New Roman" w:eastAsia="黑体" w:cs="Times New Roman"/>
          <w:sz w:val="36"/>
          <w:szCs w:val="36"/>
        </w:rPr>
        <w:t>I</w:t>
      </w:r>
      <w:r>
        <w:rPr>
          <w:rFonts w:hint="eastAsia" w:ascii="黑体" w:hAnsi="Times New Roman" w:eastAsia="黑体" w:cs="Times New Roman"/>
          <w:sz w:val="36"/>
          <w:szCs w:val="36"/>
        </w:rPr>
        <w:t>课程简介</w:t>
      </w:r>
    </w:p>
    <w:p>
      <w:pPr>
        <w:pStyle w:val="2"/>
        <w:spacing w:line="360" w:lineRule="auto"/>
        <w:jc w:val="left"/>
        <w:rPr>
          <w:rFonts w:hint="eastAsia" w:ascii="黑体" w:hAnsi="华文中宋" w:eastAsia="黑体" w:cs="Times New Roman"/>
        </w:rPr>
      </w:pPr>
    </w:p>
    <w:p>
      <w:pPr>
        <w:pStyle w:val="2"/>
        <w:spacing w:line="360" w:lineRule="auto"/>
        <w:jc w:val="left"/>
        <w:rPr>
          <w:rFonts w:hint="eastAsia"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hAnsi="宋体" w:cs="Times New Roman"/>
          <w:sz w:val="24"/>
          <w:szCs w:val="24"/>
        </w:rPr>
        <w:t>经济数学基础I</w:t>
      </w:r>
      <w:r>
        <w:rPr>
          <w:rFonts w:hint="eastAsia"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hAnsi="宋体" w:cs="Times New Roman"/>
          <w:sz w:val="24"/>
          <w:szCs w:val="24"/>
        </w:rPr>
        <w:t>学科基础必修课</w:t>
      </w:r>
    </w:p>
    <w:p>
      <w:pPr>
        <w:pStyle w:val="2"/>
        <w:spacing w:line="360" w:lineRule="auto"/>
        <w:ind w:firstLine="960" w:firstLineChars="400"/>
        <w:jc w:val="left"/>
        <w:rPr>
          <w:rFonts w:hint="eastAsia" w:ascii="黑体" w:hAnsi="华文中宋" w:eastAsia="黑体" w:cs="Times New Roman"/>
          <w:sz w:val="24"/>
          <w:szCs w:val="24"/>
        </w:rPr>
      </w:pPr>
      <w:r>
        <w:rPr>
          <w:rFonts w:hint="eastAsia" w:ascii="Times New Roman" w:hAnsi="Times New Roman" w:eastAsia="黑体" w:cs="Times New Roman"/>
          <w:sz w:val="24"/>
          <w:szCs w:val="24"/>
        </w:rPr>
        <w:t>（英文）：</w:t>
      </w:r>
      <w:r>
        <w:rPr>
          <w:rFonts w:ascii="Arial" w:hAnsi="Arial" w:cs="Arial"/>
          <w:color w:val="333333"/>
          <w:sz w:val="23"/>
          <w:szCs w:val="23"/>
        </w:rPr>
        <w:t>Economic Mathematics Foundation I</w:t>
      </w:r>
    </w:p>
    <w:p>
      <w:pPr>
        <w:pStyle w:val="2"/>
        <w:spacing w:line="360" w:lineRule="auto"/>
        <w:jc w:val="left"/>
        <w:rPr>
          <w:rFonts w:hint="eastAsia"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w:t>
      </w:r>
      <w:r>
        <w:rPr>
          <w:rFonts w:ascii="Times New Roman" w:hAnsi="Times New Roman" w:cs="Times New Roman"/>
          <w:sz w:val="24"/>
          <w:szCs w:val="24"/>
        </w:rPr>
        <w:t>90001500</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黑体" w:hAnsi="Times New Roman" w:eastAsia="黑体" w:cs="Times New Roman"/>
          <w:sz w:val="24"/>
          <w:szCs w:val="24"/>
        </w:rPr>
        <w:t>开课单位：</w:t>
      </w:r>
      <w:r>
        <w:rPr>
          <w:rFonts w:hint="eastAsia" w:hAnsi="宋体" w:cs="Times New Roman"/>
          <w:sz w:val="24"/>
          <w:szCs w:val="24"/>
        </w:rPr>
        <w:t>基础教学部</w:t>
      </w:r>
    </w:p>
    <w:p>
      <w:pPr>
        <w:pStyle w:val="2"/>
        <w:spacing w:line="360" w:lineRule="auto"/>
        <w:jc w:val="left"/>
        <w:rPr>
          <w:rFonts w:hAnsi="宋体" w:cs="Times New Roman"/>
          <w:sz w:val="24"/>
          <w:szCs w:val="24"/>
        </w:rPr>
      </w:pPr>
      <w:r>
        <w:rPr>
          <w:rFonts w:hint="eastAsia" w:ascii="黑体" w:hAnsi="Times New Roman" w:eastAsia="黑体" w:cs="Times New Roman"/>
          <w:sz w:val="24"/>
          <w:szCs w:val="24"/>
        </w:rPr>
        <w:t>学    分</w:t>
      </w:r>
      <w:r>
        <w:rPr>
          <w:rFonts w:hint="eastAsia" w:ascii="Times New Roman" w:hAnsi="Times New Roman" w:cs="Times New Roman"/>
          <w:sz w:val="24"/>
          <w:szCs w:val="24"/>
        </w:rPr>
        <w:t>：</w:t>
      </w:r>
      <w:r>
        <w:rPr>
          <w:rFonts w:hAnsi="宋体" w:cs="Times New Roman"/>
          <w:sz w:val="24"/>
          <w:szCs w:val="24"/>
        </w:rPr>
        <w:t>4</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黑体" w:hAnsi="Times New Roman" w:eastAsia="黑体" w:cs="Times New Roman"/>
          <w:sz w:val="24"/>
          <w:szCs w:val="24"/>
        </w:rPr>
        <w:t>总 学 时：</w:t>
      </w:r>
      <w:r>
        <w:rPr>
          <w:rFonts w:hAnsi="宋体" w:cs="Times New Roman"/>
          <w:sz w:val="24"/>
          <w:szCs w:val="24"/>
        </w:rPr>
        <w:t>48</w:t>
      </w:r>
    </w:p>
    <w:p>
      <w:pPr>
        <w:pStyle w:val="2"/>
        <w:spacing w:line="360" w:lineRule="auto"/>
        <w:jc w:val="left"/>
        <w:rPr>
          <w:rFonts w:ascii="Times New Roman" w:hAnsi="Times New Roman" w:cs="Times New Roman"/>
          <w:sz w:val="24"/>
          <w:szCs w:val="24"/>
        </w:rPr>
      </w:pPr>
      <w:r>
        <w:rPr>
          <w:rFonts w:hint="eastAsia" w:ascii="黑体" w:hAnsi="黑体" w:eastAsia="黑体" w:cs="Times New Roman"/>
          <w:sz w:val="24"/>
          <w:szCs w:val="24"/>
        </w:rPr>
        <w:t>先修课程</w:t>
      </w:r>
      <w:r>
        <w:rPr>
          <w:rFonts w:hint="eastAsia" w:ascii="Times New Roman" w:hAnsi="Times New Roman" w:cs="Times New Roman"/>
          <w:sz w:val="24"/>
          <w:szCs w:val="24"/>
        </w:rPr>
        <w:t xml:space="preserve">：初等数学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黑体" w:hAnsi="黑体" w:eastAsia="黑体" w:cs="Times New Roman"/>
          <w:sz w:val="24"/>
          <w:szCs w:val="24"/>
        </w:rPr>
        <w:t>适用对象</w:t>
      </w:r>
      <w:r>
        <w:rPr>
          <w:rFonts w:hint="eastAsia" w:ascii="Times New Roman" w:hAnsi="Times New Roman" w:cs="Times New Roman"/>
          <w:sz w:val="24"/>
          <w:szCs w:val="24"/>
        </w:rPr>
        <w:t>：经济类、管理类专科专业</w:t>
      </w:r>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pStyle w:val="2"/>
        <w:spacing w:line="360" w:lineRule="auto"/>
        <w:ind w:firstLine="480" w:firstLineChars="200"/>
        <w:rPr>
          <w:rFonts w:hint="eastAsia" w:hAnsi="宋体" w:cs="宋体"/>
          <w:bCs/>
          <w:color w:val="000000"/>
          <w:kern w:val="0"/>
          <w:sz w:val="24"/>
          <w:szCs w:val="24"/>
          <w:lang w:bidi="th-TH"/>
        </w:rPr>
      </w:pPr>
      <w:r>
        <w:rPr>
          <w:rFonts w:hint="eastAsia" w:hAnsi="宋体" w:cs="宋体"/>
          <w:bCs/>
          <w:color w:val="000000"/>
          <w:kern w:val="0"/>
          <w:sz w:val="24"/>
          <w:szCs w:val="24"/>
          <w:lang w:bidi="th-TH"/>
        </w:rPr>
        <w:t>《经济数学基础</w:t>
      </w:r>
      <w:r>
        <w:rPr>
          <w:rFonts w:hAnsi="宋体" w:cs="宋体"/>
          <w:bCs/>
          <w:color w:val="000000"/>
          <w:kern w:val="0"/>
          <w:sz w:val="24"/>
          <w:szCs w:val="24"/>
          <w:lang w:bidi="th-TH"/>
        </w:rPr>
        <w:t>I</w:t>
      </w:r>
      <w:r>
        <w:rPr>
          <w:rFonts w:hint="eastAsia" w:hAnsi="宋体" w:cs="宋体"/>
          <w:bCs/>
          <w:color w:val="000000"/>
          <w:kern w:val="0"/>
          <w:sz w:val="24"/>
          <w:szCs w:val="24"/>
          <w:lang w:bidi="th-TH"/>
        </w:rPr>
        <w:t>》本课程是经管类专科各专业学生的一门必修的重要基础理论课，它是为培养我国社会主义现代化建设所需要的高质量应用型经济管理人才服务的。</w:t>
      </w:r>
    </w:p>
    <w:p>
      <w:pPr>
        <w:pStyle w:val="2"/>
        <w:spacing w:line="360" w:lineRule="auto"/>
        <w:ind w:firstLine="480" w:firstLineChars="200"/>
        <w:rPr>
          <w:rFonts w:hint="eastAsia" w:hAnsi="宋体" w:cs="宋体"/>
          <w:bCs/>
          <w:color w:val="000000"/>
          <w:kern w:val="0"/>
          <w:sz w:val="24"/>
          <w:szCs w:val="24"/>
          <w:lang w:bidi="th-TH"/>
        </w:rPr>
      </w:pPr>
      <w:r>
        <w:rPr>
          <w:rFonts w:hint="eastAsia" w:hAnsi="宋体" w:cs="宋体"/>
          <w:bCs/>
          <w:color w:val="000000"/>
          <w:kern w:val="0"/>
          <w:sz w:val="24"/>
          <w:szCs w:val="24"/>
          <w:lang w:bidi="th-TH"/>
        </w:rPr>
        <w:t>通过本课程的学习，要使学生获得一元函数微积分学、多元函数微分学的基本概念、基本理论和基本运算技能，为后续课程的学习奠定必要的数学基础。在课程的教学过程中，通过各个教学环节逐步培养学生的抽象思维能力、逻辑推理能力、空间想象能力、数学运算能力、综合解题能力、数学建模与实践能力以及自学能力。</w:t>
      </w:r>
    </w:p>
    <w:p>
      <w:pPr>
        <w:pStyle w:val="2"/>
        <w:spacing w:line="360" w:lineRule="auto"/>
        <w:jc w:val="left"/>
        <w:rPr>
          <w:rFonts w:hint="eastAsia" w:ascii="Times New Roman" w:hAnsi="Times New Roman" w:cs="Times New Roman"/>
          <w:sz w:val="24"/>
          <w:szCs w:val="24"/>
        </w:rPr>
      </w:pPr>
      <w:r>
        <w:rPr>
          <w:rFonts w:ascii="Times New Roman" w:hAnsi="Times New Roman" w:cs="Times New Roman"/>
          <w:sz w:val="24"/>
          <w:szCs w:val="24"/>
        </w:rPr>
        <w:tab/>
      </w:r>
      <w:r>
        <w:rPr>
          <w:rFonts w:hint="eastAsia" w:ascii="Times New Roman" w:hAnsi="Times New Roman" w:cs="Times New Roman"/>
          <w:sz w:val="24"/>
          <w:szCs w:val="24"/>
        </w:rPr>
        <w:t xml:space="preserve">                     </w:t>
      </w:r>
    </w:p>
    <w:p>
      <w:pPr>
        <w:spacing w:line="360" w:lineRule="auto"/>
        <w:jc w:val="left"/>
        <w:rPr>
          <w:rFonts w:hint="eastAsia"/>
          <w:sz w:val="24"/>
        </w:rPr>
      </w:pPr>
      <w:r>
        <w:rPr>
          <w:rFonts w:hint="eastAsia" w:ascii="黑体" w:eastAsia="黑体"/>
          <w:sz w:val="24"/>
        </w:rPr>
        <w:t>参考书目</w:t>
      </w:r>
      <w:r>
        <w:rPr>
          <w:rFonts w:hint="eastAsia"/>
          <w:sz w:val="24"/>
        </w:rPr>
        <w:t>：</w:t>
      </w:r>
    </w:p>
    <w:p>
      <w:pPr>
        <w:numPr>
          <w:ilvl w:val="0"/>
          <w:numId w:val="1"/>
        </w:numPr>
        <w:spacing w:line="360" w:lineRule="auto"/>
        <w:rPr>
          <w:rFonts w:hint="eastAsia" w:ascii="宋体" w:hAnsi="宋体"/>
          <w:bCs/>
          <w:sz w:val="24"/>
        </w:rPr>
      </w:pPr>
      <w:r>
        <w:rPr>
          <w:rFonts w:hint="eastAsia" w:ascii="宋体" w:hAnsi="宋体"/>
          <w:bCs/>
          <w:sz w:val="24"/>
        </w:rPr>
        <w:t>陈翠主编《高等数学（经管类专业适用）》，高等教育出版社，201</w:t>
      </w:r>
      <w:r>
        <w:rPr>
          <w:rFonts w:ascii="宋体" w:hAnsi="宋体"/>
          <w:bCs/>
          <w:sz w:val="24"/>
        </w:rPr>
        <w:t>7</w:t>
      </w:r>
      <w:r>
        <w:rPr>
          <w:rFonts w:hint="eastAsia" w:ascii="宋体" w:hAnsi="宋体"/>
          <w:bCs/>
          <w:sz w:val="24"/>
        </w:rPr>
        <w:t>.</w:t>
      </w:r>
      <w:r>
        <w:rPr>
          <w:rFonts w:ascii="宋体" w:hAnsi="宋体"/>
          <w:bCs/>
          <w:sz w:val="24"/>
        </w:rPr>
        <w:t>12</w:t>
      </w:r>
      <w:r>
        <w:rPr>
          <w:rFonts w:hint="eastAsia" w:ascii="宋体" w:hAnsi="宋体"/>
          <w:bCs/>
          <w:sz w:val="24"/>
        </w:rPr>
        <w:t>；</w:t>
      </w:r>
    </w:p>
    <w:p>
      <w:pPr>
        <w:numPr>
          <w:numId w:val="0"/>
        </w:numPr>
        <w:spacing w:line="360" w:lineRule="auto"/>
        <w:rPr>
          <w:rFonts w:hint="eastAsia" w:ascii="宋体" w:hAnsi="宋体"/>
          <w:bCs/>
          <w:sz w:val="24"/>
        </w:rPr>
      </w:pPr>
      <w:r>
        <w:rPr>
          <w:rFonts w:ascii="宋体" w:hAnsi="宋体"/>
          <w:bCs/>
          <w:sz w:val="24"/>
        </w:rPr>
        <w:t>2</w:t>
      </w:r>
      <w:r>
        <w:rPr>
          <w:rFonts w:hint="eastAsia" w:ascii="宋体" w:hAnsi="宋体"/>
          <w:bCs/>
          <w:sz w:val="24"/>
        </w:rPr>
        <w:t>、华东师范大学数学系编《数学分析》，高等教育出版社，201</w:t>
      </w:r>
      <w:r>
        <w:rPr>
          <w:rFonts w:ascii="宋体" w:hAnsi="宋体"/>
          <w:bCs/>
          <w:sz w:val="24"/>
        </w:rPr>
        <w:t>4</w:t>
      </w:r>
      <w:r>
        <w:rPr>
          <w:rFonts w:hint="eastAsia" w:ascii="宋体" w:hAnsi="宋体"/>
          <w:bCs/>
          <w:sz w:val="24"/>
        </w:rPr>
        <w:t>.</w:t>
      </w:r>
      <w:r>
        <w:rPr>
          <w:rFonts w:ascii="宋体" w:hAnsi="宋体"/>
          <w:bCs/>
          <w:sz w:val="24"/>
        </w:rPr>
        <w:t>9</w:t>
      </w:r>
      <w:r>
        <w:rPr>
          <w:rFonts w:hint="eastAsia" w:ascii="宋体" w:hAnsi="宋体"/>
          <w:bCs/>
          <w:sz w:val="24"/>
        </w:rPr>
        <w:t>；</w:t>
      </w:r>
    </w:p>
    <w:p>
      <w:pPr>
        <w:spacing w:line="360" w:lineRule="auto"/>
        <w:rPr>
          <w:rFonts w:hint="eastAsia" w:ascii="宋体" w:hAnsi="宋体"/>
          <w:bCs/>
          <w:sz w:val="24"/>
        </w:rPr>
      </w:pPr>
      <w:r>
        <w:rPr>
          <w:rFonts w:ascii="宋体" w:hAnsi="宋体"/>
          <w:bCs/>
          <w:sz w:val="24"/>
        </w:rPr>
        <w:t>3</w:t>
      </w:r>
      <w:r>
        <w:rPr>
          <w:rFonts w:hint="eastAsia" w:ascii="宋体" w:hAnsi="宋体"/>
          <w:bCs/>
          <w:sz w:val="24"/>
        </w:rPr>
        <w:t>、吴赣昌主编，《经管类 微积分（第四版）》，中国人民大学出版社</w:t>
      </w:r>
      <w:bookmarkStart w:id="0" w:name="_GoBack"/>
      <w:bookmarkEnd w:id="0"/>
      <w:r>
        <w:rPr>
          <w:rFonts w:hint="eastAsia" w:ascii="宋体" w:hAnsi="宋体"/>
          <w:bCs/>
          <w:sz w:val="24"/>
        </w:rPr>
        <w:t>2011.6；</w:t>
      </w:r>
    </w:p>
    <w:p>
      <w:pPr>
        <w:rPr>
          <w:rFonts w:hint="eastAsia"/>
        </w:rPr>
      </w:pPr>
      <w:r>
        <w:rPr>
          <w:sz w:val="24"/>
        </w:rPr>
        <w:t>4</w:t>
      </w:r>
      <w:r>
        <w:rPr>
          <w:rFonts w:hint="eastAsia"/>
          <w:sz w:val="24"/>
        </w:rPr>
        <w:t>、顾静相主编，《经济数学基础》（第四版），高等教育出版社，北京，2014.8.</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 xml:space="preserve">山东财经大学东方学院                                  </w:t>
    </w:r>
    <w:r>
      <w:rPr>
        <w:rFonts w:ascii="华文楷体" w:hAnsi="华文楷体" w:eastAsia="华文楷体"/>
      </w:rPr>
      <w:t xml:space="preserve">                                              </w:t>
    </w:r>
    <w:r>
      <w:rPr>
        <w:rFonts w:hint="eastAsia" w:ascii="华文楷体" w:hAnsi="华文楷体" w:eastAsia="华文楷体"/>
      </w:rPr>
      <w:t xml:space="preserve">       </w:t>
    </w:r>
    <w:r>
      <w:rPr>
        <w:rFonts w:ascii="华文楷体" w:hAnsi="华文楷体" w:eastAsia="华文楷体"/>
      </w:rPr>
      <w:t xml:space="preserve"> </w:t>
    </w:r>
    <w:r>
      <w:rPr>
        <w:rFonts w:hint="eastAsia" w:ascii="华文楷体" w:hAnsi="华文楷体" w:eastAsia="华文楷体"/>
      </w:rPr>
      <w:t xml:space="preserve">                                  课程简介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4E03F"/>
    <w:multiLevelType w:val="singleLevel"/>
    <w:tmpl w:val="2E64E03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55956"/>
    <w:rsid w:val="002C1451"/>
    <w:rsid w:val="002D5D9D"/>
    <w:rsid w:val="00323B43"/>
    <w:rsid w:val="003D37D8"/>
    <w:rsid w:val="00426133"/>
    <w:rsid w:val="004358AB"/>
    <w:rsid w:val="004D0BC9"/>
    <w:rsid w:val="005966FC"/>
    <w:rsid w:val="006B3EEF"/>
    <w:rsid w:val="00770E12"/>
    <w:rsid w:val="007B322A"/>
    <w:rsid w:val="00860BF3"/>
    <w:rsid w:val="008B7726"/>
    <w:rsid w:val="009017CE"/>
    <w:rsid w:val="00A44401"/>
    <w:rsid w:val="00AB1C46"/>
    <w:rsid w:val="00AC08BC"/>
    <w:rsid w:val="00AD7AAF"/>
    <w:rsid w:val="00B26E81"/>
    <w:rsid w:val="00B668B3"/>
    <w:rsid w:val="00BA64F3"/>
    <w:rsid w:val="00BB6C5E"/>
    <w:rsid w:val="00C160E1"/>
    <w:rsid w:val="00D31D50"/>
    <w:rsid w:val="00D4645D"/>
    <w:rsid w:val="00DD15BF"/>
    <w:rsid w:val="00E517DA"/>
    <w:rsid w:val="00EC1090"/>
    <w:rsid w:val="00EF0E26"/>
    <w:rsid w:val="00F001B0"/>
    <w:rsid w:val="00F00F5F"/>
    <w:rsid w:val="00F924BD"/>
    <w:rsid w:val="00FB3B0E"/>
    <w:rsid w:val="11B916E9"/>
    <w:rsid w:val="5B483702"/>
    <w:rsid w:val="5E3F0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6"/>
    <w:link w:val="5"/>
    <w:qFormat/>
    <w:uiPriority w:val="99"/>
    <w:rPr>
      <w:rFonts w:ascii="Tahoma" w:hAnsi="Tahoma"/>
      <w:sz w:val="18"/>
      <w:szCs w:val="18"/>
    </w:rPr>
  </w:style>
  <w:style w:type="character" w:customStyle="1" w:styleId="9">
    <w:name w:val="页脚 Char"/>
    <w:basedOn w:val="6"/>
    <w:link w:val="4"/>
    <w:uiPriority w:val="99"/>
    <w:rPr>
      <w:rFonts w:ascii="Tahoma" w:hAnsi="Tahoma"/>
      <w:sz w:val="18"/>
      <w:szCs w:val="18"/>
    </w:rPr>
  </w:style>
  <w:style w:type="paragraph" w:customStyle="1" w:styleId="10">
    <w:name w:val="Char"/>
    <w:basedOn w:val="1"/>
    <w:uiPriority w:val="0"/>
    <w:pPr>
      <w:widowControl w:val="0"/>
      <w:adjustRightInd/>
      <w:snapToGrid/>
      <w:spacing w:after="0"/>
      <w:jc w:val="both"/>
    </w:pPr>
    <w:rPr>
      <w:rFonts w:eastAsia="宋体" w:cs="Arial"/>
      <w:kern w:val="2"/>
      <w:sz w:val="21"/>
      <w:szCs w:val="21"/>
    </w:rPr>
  </w:style>
  <w:style w:type="character" w:customStyle="1" w:styleId="11">
    <w:name w:val="纯文本 Char"/>
    <w:basedOn w:val="6"/>
    <w:link w:val="2"/>
    <w:uiPriority w:val="0"/>
    <w:rPr>
      <w:rFonts w:ascii="宋体" w:hAnsi="Courier New" w:eastAsia="宋体" w:cs="Courier New"/>
      <w:kern w:val="2"/>
      <w:sz w:val="21"/>
      <w:szCs w:val="21"/>
    </w:rPr>
  </w:style>
  <w:style w:type="character" w:customStyle="1" w:styleId="12">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C26A8E-4496-4CEA-B65E-2B0A670B2D59}">
  <ds:schemaRefs/>
</ds:datastoreItem>
</file>

<file path=docProps/app.xml><?xml version="1.0" encoding="utf-8"?>
<Properties xmlns="http://schemas.openxmlformats.org/officeDocument/2006/extended-properties" xmlns:vt="http://schemas.openxmlformats.org/officeDocument/2006/docPropsVTypes">
  <Template>Normal</Template>
  <Pages>1</Pages>
  <Words>88</Words>
  <Characters>504</Characters>
  <Lines>4</Lines>
  <Paragraphs>1</Paragraphs>
  <TotalTime>1</TotalTime>
  <ScaleCrop>false</ScaleCrop>
  <LinksUpToDate>false</LinksUpToDate>
  <CharactersWithSpaces>591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Administrator</cp:lastModifiedBy>
  <dcterms:modified xsi:type="dcterms:W3CDTF">2018-09-19T04:42:02Z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