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ind w:left="-105" w:leftChars="-50" w:right="-105" w:rightChars="-50"/>
        <w:jc w:val="center"/>
        <w:rPr>
          <w:rFonts w:hint="eastAsia" w:ascii="黑体" w:eastAsia="黑体"/>
          <w:b/>
          <w:bCs/>
          <w:color w:val="auto"/>
          <w:spacing w:val="32"/>
          <w:sz w:val="52"/>
          <w:szCs w:val="52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山东财经大学东方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</w:rPr>
        <w:t>学院</w:t>
      </w:r>
    </w:p>
    <w:p>
      <w:pPr>
        <w:jc w:val="center"/>
        <w:rPr>
          <w:rFonts w:hint="default" w:eastAsia="黑体"/>
          <w:b/>
          <w:bCs/>
          <w:color w:val="auto"/>
          <w:lang w:val="en-US" w:eastAsia="zh-CN"/>
        </w:rPr>
      </w:pP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eastAsia="zh-CN"/>
        </w:rPr>
        <w:t>《》课程课堂教学改革实施</w:t>
      </w:r>
      <w:r>
        <w:rPr>
          <w:rFonts w:hint="eastAsia" w:ascii="黑体" w:eastAsia="黑体"/>
          <w:b/>
          <w:bCs/>
          <w:color w:val="auto"/>
          <w:spacing w:val="32"/>
          <w:sz w:val="52"/>
          <w:szCs w:val="52"/>
          <w:lang w:val="en-US" w:eastAsia="zh-CN"/>
        </w:rPr>
        <w:t>细则</w:t>
      </w: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p>
      <w:pPr>
        <w:rPr>
          <w:rFonts w:hint="eastAsia" w:eastAsia="黑体"/>
          <w:b/>
          <w:bCs/>
          <w:color w:val="auto"/>
        </w:rPr>
      </w:pPr>
    </w:p>
    <w:tbl>
      <w:tblPr>
        <w:tblStyle w:val="2"/>
        <w:tblpPr w:leftFromText="180" w:rightFromText="180" w:vertAnchor="text" w:horzAnchor="page" w:tblpX="1930" w:tblpY="1839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427"/>
        <w:gridCol w:w="3785"/>
        <w:gridCol w:w="15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  <w:t>课程负责人</w:t>
            </w:r>
          </w:p>
        </w:tc>
        <w:tc>
          <w:tcPr>
            <w:tcW w:w="37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</w:rPr>
              <w:t>所在学院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ind w:right="-107" w:rightChars="-51"/>
              <w:jc w:val="distribute"/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  <w:lang w:eastAsia="zh-CN"/>
              </w:rPr>
              <w:t>面向专业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799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  <w:tc>
          <w:tcPr>
            <w:tcW w:w="2427" w:type="dxa"/>
            <w:noWrap w:val="0"/>
            <w:vAlign w:val="center"/>
          </w:tcPr>
          <w:p>
            <w:pPr>
              <w:jc w:val="distribute"/>
              <w:rPr>
                <w:rFonts w:hint="eastAsia" w:eastAsia="黑体"/>
                <w:b/>
                <w:bCs/>
                <w:color w:val="auto"/>
                <w:sz w:val="32"/>
              </w:rPr>
            </w:pPr>
            <w:r>
              <w:rPr>
                <w:rFonts w:hint="eastAsia" w:eastAsia="黑体"/>
                <w:b/>
                <w:bCs/>
                <w:color w:val="auto"/>
                <w:sz w:val="32"/>
              </w:rPr>
              <w:t>填表日期</w:t>
            </w:r>
          </w:p>
        </w:tc>
        <w:tc>
          <w:tcPr>
            <w:tcW w:w="378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  <w:color w:val="auto"/>
                <w:sz w:val="24"/>
              </w:rPr>
            </w:pPr>
          </w:p>
        </w:tc>
        <w:tc>
          <w:tcPr>
            <w:tcW w:w="1511" w:type="dxa"/>
            <w:noWrap w:val="0"/>
            <w:vAlign w:val="center"/>
          </w:tcPr>
          <w:p>
            <w:pPr>
              <w:rPr>
                <w:rFonts w:hint="eastAsia" w:eastAsia="黑体"/>
                <w:b/>
                <w:bCs/>
                <w:color w:val="auto"/>
              </w:rPr>
            </w:pPr>
          </w:p>
        </w:tc>
      </w:tr>
    </w:tbl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rPr>
          <w:rFonts w:hint="eastAsia" w:eastAsia="黑体"/>
          <w:b/>
          <w:bCs/>
          <w:color w:val="auto"/>
          <w:sz w:val="32"/>
          <w:szCs w:val="32"/>
        </w:rPr>
      </w:pP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山东财经大学东方学院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教务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科研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处制</w:t>
      </w: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  <w:r>
        <w:rPr>
          <w:rFonts w:hint="eastAsia" w:eastAsia="黑体"/>
          <w:bCs/>
          <w:color w:val="auto"/>
          <w:spacing w:val="22"/>
          <w:sz w:val="32"/>
          <w:szCs w:val="32"/>
        </w:rPr>
        <w:t>二〇二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四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年</w:t>
      </w:r>
      <w:r>
        <w:rPr>
          <w:rFonts w:hint="eastAsia" w:eastAsia="黑体"/>
          <w:bCs/>
          <w:color w:val="auto"/>
          <w:spacing w:val="22"/>
          <w:sz w:val="32"/>
          <w:szCs w:val="32"/>
          <w:lang w:eastAsia="zh-CN"/>
        </w:rPr>
        <w:t>一</w:t>
      </w:r>
      <w:r>
        <w:rPr>
          <w:rFonts w:hint="eastAsia" w:eastAsia="黑体"/>
          <w:bCs/>
          <w:color w:val="auto"/>
          <w:spacing w:val="22"/>
          <w:sz w:val="32"/>
          <w:szCs w:val="32"/>
        </w:rPr>
        <w:t>月</w:t>
      </w:r>
    </w:p>
    <w:p>
      <w:pPr>
        <w:jc w:val="center"/>
        <w:rPr>
          <w:rFonts w:hint="eastAsia" w:eastAsia="黑体"/>
          <w:bCs/>
          <w:color w:val="auto"/>
          <w:spacing w:val="22"/>
          <w:sz w:val="32"/>
          <w:szCs w:val="32"/>
        </w:rPr>
      </w:pPr>
    </w:p>
    <w:tbl>
      <w:tblPr>
        <w:tblStyle w:val="3"/>
        <w:tblpPr w:leftFromText="180" w:rightFromText="180" w:vertAnchor="page" w:horzAnchor="page" w:tblpX="1785" w:tblpY="1635"/>
        <w:tblOverlap w:val="never"/>
        <w:tblW w:w="87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431"/>
        <w:gridCol w:w="2265"/>
        <w:gridCol w:w="362"/>
        <w:gridCol w:w="1573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一、课程基本信息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课程编码</w:t>
            </w:r>
          </w:p>
        </w:tc>
        <w:tc>
          <w:tcPr>
            <w:tcW w:w="279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学分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学时</w:t>
            </w:r>
          </w:p>
        </w:tc>
        <w:tc>
          <w:tcPr>
            <w:tcW w:w="279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总学时：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理论：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课程性质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必修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选修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课程分类</w:t>
            </w:r>
          </w:p>
        </w:tc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通识课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专业课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学期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本学期学生人数</w:t>
            </w:r>
          </w:p>
        </w:tc>
        <w:tc>
          <w:tcPr>
            <w:tcW w:w="2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3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课程团队成员</w:t>
            </w:r>
          </w:p>
        </w:tc>
        <w:tc>
          <w:tcPr>
            <w:tcW w:w="699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二、课程课堂教学改革实施细则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1.学情分析与课程目标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（结合学校办学定位、学生情况、专业人才培养要求，具体描述学习本课程后应该达到的知识、能力、素养水平，体现出应用型人才培养目标）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2.课程课堂教学改革设计思路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（围绕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应用型人才培养目标，描述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本课程课堂教学改革重点解决的问题、教学设计、课程内容与资源的建设及应用情况、教学活动的组织及实施情况、教学模式与教学方法的改革、课程成绩评定方式、课程评价反馈等方面）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0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3.课程改革效果预期达成情况</w:t>
            </w:r>
          </w:p>
        </w:tc>
        <w:tc>
          <w:tcPr>
            <w:tcW w:w="7421" w:type="dxa"/>
            <w:gridSpan w:val="5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（本课程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改革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的创新特色与亮点、预期达到的成效等）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5" w:type="dxa"/>
            <w:gridSpan w:val="6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三、审核论证意见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2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教研室主任签字：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left="1440" w:hanging="1440" w:hangingChars="6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月   日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363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1200" w:firstLineChars="5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学院负责人签字：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1440" w:firstLineChars="6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课程负责人在制定课程课堂改革实施细则的基础上，要完成以下支撑材料：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1.体现应用型人才培养的教学内容优化、课堂教学模式及教学方法改革、全过程课程评价办法的教案(每门课程1份)。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2.体现对接职业标准的教学内容优化案例（不少于5个）。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3.课程平台及教学资源建设的证明材料(自建或选用，可以用截图形式)。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4.过程化考核拟采用的考核题目及评分标准(不少于5个题目)。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.期末考试拟采用的非标准化答案考核题目及评分标准(不少于5个题目)。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0000000"/>
    <w:rsid w:val="030237BF"/>
    <w:rsid w:val="076C2B79"/>
    <w:rsid w:val="09687A00"/>
    <w:rsid w:val="0B8A5C99"/>
    <w:rsid w:val="0B8D4A4D"/>
    <w:rsid w:val="1C89159D"/>
    <w:rsid w:val="24114B8C"/>
    <w:rsid w:val="2E373E9D"/>
    <w:rsid w:val="2E8C5556"/>
    <w:rsid w:val="2FC621A2"/>
    <w:rsid w:val="33FA4F0A"/>
    <w:rsid w:val="38996CB7"/>
    <w:rsid w:val="39F0338E"/>
    <w:rsid w:val="3B6A1E8C"/>
    <w:rsid w:val="3BBD363C"/>
    <w:rsid w:val="3C5B26EB"/>
    <w:rsid w:val="4D6A36BC"/>
    <w:rsid w:val="53034189"/>
    <w:rsid w:val="567F3505"/>
    <w:rsid w:val="62E2094B"/>
    <w:rsid w:val="6A545B85"/>
    <w:rsid w:val="70124A97"/>
    <w:rsid w:val="737118BC"/>
    <w:rsid w:val="7458468A"/>
    <w:rsid w:val="792415D7"/>
    <w:rsid w:val="7D4D4C6F"/>
    <w:rsid w:val="DFFADEA6"/>
    <w:rsid w:val="FF6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670</Words>
  <Characters>680</Characters>
  <Lines>0</Lines>
  <Paragraphs>0</Paragraphs>
  <TotalTime>0</TotalTime>
  <ScaleCrop>false</ScaleCrop>
  <LinksUpToDate>false</LinksUpToDate>
  <CharactersWithSpaces>733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2023-11-15T09:36:00Z</dcterms:created>
  <dc:creator>Administrator</dc:creator>
  <cp:lastModifiedBy>Administrator</cp:lastModifiedBy>
  <dcterms:modified xsi:type="dcterms:W3CDTF">2024-06-18T03:29:28Z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45A3ED1C94C445C9831A7642CA92258D_12</vt:lpwstr>
  </property>
</Properties>
</file>