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B4BC1E" w14:textId="77777777" w:rsidR="00800C07" w:rsidRDefault="00000000">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山东财经大学东方学院工商管理学院</w:t>
      </w:r>
    </w:p>
    <w:p w14:paraId="76A1C4A7" w14:textId="77777777" w:rsidR="00800C07" w:rsidRDefault="00000000">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本专科学生转专业工作实施方案</w:t>
      </w:r>
    </w:p>
    <w:p w14:paraId="37024151" w14:textId="77777777" w:rsidR="00800C07" w:rsidRDefault="00800C07"/>
    <w:p w14:paraId="6C9083A2" w14:textId="77777777" w:rsidR="00800C07" w:rsidRDefault="00000000">
      <w:pPr>
        <w:ind w:firstLineChars="200" w:firstLine="640"/>
        <w:rPr>
          <w:rFonts w:ascii="黑体" w:eastAsia="黑体" w:hAnsi="黑体"/>
          <w:sz w:val="32"/>
          <w:szCs w:val="32"/>
        </w:rPr>
      </w:pPr>
      <w:r>
        <w:rPr>
          <w:rFonts w:ascii="黑体" w:eastAsia="黑体" w:hAnsi="黑体" w:hint="eastAsia"/>
          <w:sz w:val="32"/>
          <w:szCs w:val="32"/>
        </w:rPr>
        <w:t>第一条 领导小组</w:t>
      </w:r>
    </w:p>
    <w:p w14:paraId="7F16DB6E" w14:textId="77777777" w:rsidR="00800C07" w:rsidRDefault="00000000">
      <w:pPr>
        <w:ind w:firstLineChars="200" w:firstLine="640"/>
        <w:rPr>
          <w:rFonts w:ascii="仿宋_GB2312" w:eastAsia="仿宋_GB2312"/>
          <w:sz w:val="32"/>
          <w:szCs w:val="32"/>
        </w:rPr>
      </w:pPr>
      <w:r>
        <w:rPr>
          <w:rFonts w:ascii="仿宋_GB2312" w:eastAsia="仿宋_GB2312" w:hint="eastAsia"/>
          <w:sz w:val="32"/>
          <w:szCs w:val="32"/>
        </w:rPr>
        <w:t>学院成立以李秀荣为组长，高爱霞、梁承磊为副组长的领导小组，全面负责转专业工作部署。同时，成立以高爱霞为组长的工作小组，工作组成员为白立洋、凌瑶、刘浩、刘慧、梁维江、毕雅男、王洋，配合完成转专业的各项工作。</w:t>
      </w:r>
    </w:p>
    <w:p w14:paraId="2AECF549" w14:textId="77777777" w:rsidR="00800C07" w:rsidRDefault="00000000">
      <w:pPr>
        <w:ind w:firstLineChars="200" w:firstLine="640"/>
        <w:rPr>
          <w:rFonts w:ascii="黑体" w:eastAsia="黑体" w:hAnsi="黑体"/>
          <w:sz w:val="32"/>
          <w:szCs w:val="32"/>
        </w:rPr>
      </w:pPr>
      <w:r>
        <w:rPr>
          <w:rFonts w:ascii="黑体" w:eastAsia="黑体" w:hAnsi="黑体" w:hint="eastAsia"/>
          <w:sz w:val="32"/>
          <w:szCs w:val="32"/>
        </w:rPr>
        <w:t>第二条 接收专业与接收计划</w:t>
      </w:r>
    </w:p>
    <w:p w14:paraId="5F8AC1C4" w14:textId="77777777" w:rsidR="00800C07" w:rsidRDefault="00000000">
      <w:pPr>
        <w:ind w:firstLineChars="200" w:firstLine="640"/>
        <w:rPr>
          <w:rFonts w:ascii="仿宋_GB2312" w:eastAsia="仿宋_GB2312"/>
          <w:sz w:val="32"/>
          <w:szCs w:val="32"/>
        </w:rPr>
      </w:pPr>
      <w:r>
        <w:rPr>
          <w:rFonts w:ascii="仿宋_GB2312" w:eastAsia="仿宋_GB2312" w:hint="eastAsia"/>
          <w:sz w:val="32"/>
          <w:szCs w:val="32"/>
        </w:rPr>
        <w:t>根据学院专业建设需要、各专业现有学生人数及教学资源条件确定接收专业和计划为：</w:t>
      </w:r>
    </w:p>
    <w:tbl>
      <w:tblPr>
        <w:tblW w:w="7228" w:type="dxa"/>
        <w:jc w:val="center"/>
        <w:tblBorders>
          <w:top w:val="single" w:sz="12" w:space="0" w:color="auto"/>
          <w:bottom w:val="single" w:sz="12" w:space="0" w:color="auto"/>
          <w:insideH w:val="single" w:sz="6" w:space="0" w:color="auto"/>
          <w:insideV w:val="single" w:sz="6" w:space="0" w:color="auto"/>
        </w:tblBorders>
        <w:tblLayout w:type="fixed"/>
        <w:tblLook w:val="04A0" w:firstRow="1" w:lastRow="0" w:firstColumn="1" w:lastColumn="0" w:noHBand="0" w:noVBand="1"/>
      </w:tblPr>
      <w:tblGrid>
        <w:gridCol w:w="1695"/>
        <w:gridCol w:w="1055"/>
        <w:gridCol w:w="1250"/>
        <w:gridCol w:w="1204"/>
        <w:gridCol w:w="2024"/>
      </w:tblGrid>
      <w:tr w:rsidR="00800C07" w14:paraId="673DC9CB" w14:textId="77777777">
        <w:trPr>
          <w:trHeight w:val="347"/>
          <w:jc w:val="center"/>
        </w:trPr>
        <w:tc>
          <w:tcPr>
            <w:tcW w:w="1695" w:type="dxa"/>
            <w:tcBorders>
              <w:top w:val="single" w:sz="4" w:space="0" w:color="auto"/>
              <w:left w:val="single" w:sz="4" w:space="0" w:color="auto"/>
              <w:bottom w:val="single" w:sz="6" w:space="0" w:color="auto"/>
              <w:right w:val="single" w:sz="4" w:space="0" w:color="auto"/>
            </w:tcBorders>
            <w:vAlign w:val="center"/>
          </w:tcPr>
          <w:p w14:paraId="69386AA5" w14:textId="77777777" w:rsidR="00800C07" w:rsidRDefault="00000000">
            <w:pPr>
              <w:autoSpaceDE w:val="0"/>
              <w:adjustRightInd w:val="0"/>
              <w:snapToGrid w:val="0"/>
              <w:spacing w:before="100" w:beforeAutospacing="1" w:after="200" w:line="400" w:lineRule="exact"/>
              <w:jc w:val="center"/>
              <w:rPr>
                <w:rFonts w:ascii="仿宋_GB2312" w:eastAsia="仿宋_GB2312" w:hAnsi="Tahoma"/>
                <w:sz w:val="32"/>
                <w:szCs w:val="32"/>
              </w:rPr>
            </w:pPr>
            <w:r>
              <w:rPr>
                <w:rFonts w:ascii="仿宋_GB2312" w:eastAsia="仿宋_GB2312" w:hint="eastAsia"/>
                <w:sz w:val="32"/>
                <w:szCs w:val="32"/>
              </w:rPr>
              <w:t>专业名称</w:t>
            </w:r>
          </w:p>
        </w:tc>
        <w:tc>
          <w:tcPr>
            <w:tcW w:w="1055" w:type="dxa"/>
            <w:tcBorders>
              <w:top w:val="single" w:sz="4" w:space="0" w:color="auto"/>
              <w:left w:val="single" w:sz="6" w:space="0" w:color="auto"/>
              <w:bottom w:val="single" w:sz="6" w:space="0" w:color="auto"/>
              <w:right w:val="single" w:sz="6" w:space="0" w:color="auto"/>
            </w:tcBorders>
            <w:vAlign w:val="center"/>
          </w:tcPr>
          <w:p w14:paraId="3460321B" w14:textId="77777777" w:rsidR="00800C07" w:rsidRDefault="00000000">
            <w:pPr>
              <w:autoSpaceDE w:val="0"/>
              <w:adjustRightInd w:val="0"/>
              <w:snapToGrid w:val="0"/>
              <w:spacing w:before="100" w:beforeAutospacing="1" w:after="200" w:line="400" w:lineRule="exact"/>
              <w:jc w:val="center"/>
              <w:rPr>
                <w:rFonts w:ascii="仿宋_GB2312" w:eastAsia="仿宋_GB2312" w:hAnsi="Tahoma"/>
                <w:sz w:val="32"/>
                <w:szCs w:val="32"/>
              </w:rPr>
            </w:pPr>
            <w:r>
              <w:rPr>
                <w:rFonts w:ascii="仿宋_GB2312" w:eastAsia="仿宋_GB2312" w:hint="eastAsia"/>
                <w:sz w:val="32"/>
                <w:szCs w:val="32"/>
              </w:rPr>
              <w:t>学生数</w:t>
            </w:r>
          </w:p>
        </w:tc>
        <w:tc>
          <w:tcPr>
            <w:tcW w:w="1250" w:type="dxa"/>
            <w:tcBorders>
              <w:top w:val="single" w:sz="4" w:space="0" w:color="auto"/>
              <w:left w:val="single" w:sz="6" w:space="0" w:color="auto"/>
              <w:bottom w:val="single" w:sz="6" w:space="0" w:color="auto"/>
              <w:right w:val="single" w:sz="6" w:space="0" w:color="auto"/>
            </w:tcBorders>
            <w:vAlign w:val="center"/>
          </w:tcPr>
          <w:p w14:paraId="696EFA71" w14:textId="77777777" w:rsidR="00800C07" w:rsidRDefault="00000000">
            <w:pPr>
              <w:autoSpaceDE w:val="0"/>
              <w:adjustRightInd w:val="0"/>
              <w:snapToGrid w:val="0"/>
              <w:spacing w:before="100" w:beforeAutospacing="1" w:after="200" w:line="400" w:lineRule="exact"/>
              <w:jc w:val="center"/>
              <w:rPr>
                <w:rFonts w:ascii="仿宋_GB2312" w:eastAsia="仿宋_GB2312" w:hAnsi="Tahoma"/>
                <w:sz w:val="32"/>
                <w:szCs w:val="32"/>
              </w:rPr>
            </w:pPr>
            <w:r>
              <w:rPr>
                <w:rFonts w:ascii="仿宋_GB2312" w:eastAsia="仿宋_GB2312" w:hint="eastAsia"/>
                <w:sz w:val="32"/>
                <w:szCs w:val="32"/>
              </w:rPr>
              <w:t>层次</w:t>
            </w:r>
          </w:p>
        </w:tc>
        <w:tc>
          <w:tcPr>
            <w:tcW w:w="1204" w:type="dxa"/>
            <w:tcBorders>
              <w:top w:val="single" w:sz="4" w:space="0" w:color="auto"/>
              <w:left w:val="single" w:sz="6" w:space="0" w:color="auto"/>
              <w:bottom w:val="single" w:sz="6" w:space="0" w:color="auto"/>
              <w:right w:val="single" w:sz="6" w:space="0" w:color="auto"/>
            </w:tcBorders>
            <w:vAlign w:val="center"/>
          </w:tcPr>
          <w:p w14:paraId="618AA993" w14:textId="77777777" w:rsidR="00800C07" w:rsidRDefault="00000000">
            <w:pPr>
              <w:autoSpaceDE w:val="0"/>
              <w:adjustRightInd w:val="0"/>
              <w:snapToGrid w:val="0"/>
              <w:spacing w:before="100" w:beforeAutospacing="1" w:after="200" w:line="400" w:lineRule="exact"/>
              <w:jc w:val="center"/>
              <w:rPr>
                <w:rFonts w:ascii="仿宋_GB2312" w:eastAsia="仿宋_GB2312" w:hAnsi="Tahoma"/>
                <w:sz w:val="32"/>
                <w:szCs w:val="32"/>
              </w:rPr>
            </w:pPr>
            <w:r>
              <w:rPr>
                <w:rFonts w:ascii="仿宋_GB2312" w:eastAsia="仿宋_GB2312" w:hint="eastAsia"/>
                <w:sz w:val="32"/>
                <w:szCs w:val="32"/>
              </w:rPr>
              <w:t>学制</w:t>
            </w:r>
          </w:p>
        </w:tc>
        <w:tc>
          <w:tcPr>
            <w:tcW w:w="2024" w:type="dxa"/>
            <w:tcBorders>
              <w:top w:val="single" w:sz="4" w:space="0" w:color="auto"/>
              <w:left w:val="single" w:sz="6" w:space="0" w:color="auto"/>
              <w:bottom w:val="single" w:sz="6" w:space="0" w:color="auto"/>
              <w:right w:val="single" w:sz="4" w:space="0" w:color="auto"/>
            </w:tcBorders>
            <w:vAlign w:val="center"/>
          </w:tcPr>
          <w:p w14:paraId="1F985528" w14:textId="77777777" w:rsidR="00800C07" w:rsidRDefault="00000000">
            <w:pPr>
              <w:autoSpaceDE w:val="0"/>
              <w:spacing w:line="400" w:lineRule="exact"/>
              <w:jc w:val="center"/>
              <w:rPr>
                <w:rFonts w:ascii="仿宋_GB2312" w:eastAsia="仿宋_GB2312" w:hAnsi="Tahoma"/>
                <w:sz w:val="32"/>
                <w:szCs w:val="32"/>
              </w:rPr>
            </w:pPr>
            <w:r>
              <w:rPr>
                <w:rFonts w:ascii="仿宋_GB2312" w:eastAsia="仿宋_GB2312" w:hint="eastAsia"/>
                <w:sz w:val="32"/>
                <w:szCs w:val="32"/>
              </w:rPr>
              <w:t>可接收</w:t>
            </w:r>
          </w:p>
          <w:p w14:paraId="32079076" w14:textId="77777777" w:rsidR="00800C07" w:rsidRDefault="00000000">
            <w:pPr>
              <w:autoSpaceDE w:val="0"/>
              <w:adjustRightInd w:val="0"/>
              <w:snapToGrid w:val="0"/>
              <w:spacing w:before="100" w:beforeAutospacing="1" w:after="200" w:line="400" w:lineRule="exact"/>
              <w:jc w:val="center"/>
              <w:rPr>
                <w:rFonts w:ascii="仿宋_GB2312" w:eastAsia="仿宋_GB2312" w:hAnsi="Tahoma"/>
                <w:sz w:val="32"/>
                <w:szCs w:val="32"/>
              </w:rPr>
            </w:pPr>
            <w:r>
              <w:rPr>
                <w:rFonts w:ascii="仿宋_GB2312" w:eastAsia="仿宋_GB2312" w:hint="eastAsia"/>
                <w:sz w:val="32"/>
                <w:szCs w:val="32"/>
              </w:rPr>
              <w:t>学生数</w:t>
            </w:r>
          </w:p>
        </w:tc>
      </w:tr>
      <w:tr w:rsidR="00800C07" w14:paraId="25D7E330" w14:textId="77777777">
        <w:trPr>
          <w:trHeight w:val="496"/>
          <w:jc w:val="center"/>
        </w:trPr>
        <w:tc>
          <w:tcPr>
            <w:tcW w:w="1695" w:type="dxa"/>
            <w:tcBorders>
              <w:top w:val="single" w:sz="6" w:space="0" w:color="auto"/>
              <w:left w:val="single" w:sz="4" w:space="0" w:color="auto"/>
              <w:bottom w:val="single" w:sz="6" w:space="0" w:color="auto"/>
              <w:right w:val="single" w:sz="4" w:space="0" w:color="auto"/>
            </w:tcBorders>
            <w:vAlign w:val="center"/>
          </w:tcPr>
          <w:p w14:paraId="48736329" w14:textId="77777777" w:rsidR="00800C07" w:rsidRDefault="00000000">
            <w:pPr>
              <w:autoSpaceDE w:val="0"/>
              <w:adjustRightInd w:val="0"/>
              <w:snapToGrid w:val="0"/>
              <w:spacing w:before="100" w:beforeAutospacing="1" w:after="200" w:line="400" w:lineRule="exact"/>
              <w:jc w:val="center"/>
              <w:rPr>
                <w:rFonts w:ascii="仿宋_GB2312" w:eastAsia="仿宋_GB2312" w:hAnsi="Tahoma"/>
                <w:sz w:val="32"/>
                <w:szCs w:val="32"/>
              </w:rPr>
            </w:pPr>
            <w:r>
              <w:rPr>
                <w:rFonts w:ascii="仿宋_GB2312" w:eastAsia="仿宋_GB2312" w:hint="eastAsia"/>
                <w:sz w:val="32"/>
                <w:szCs w:val="32"/>
              </w:rPr>
              <w:t>工商管理</w:t>
            </w:r>
          </w:p>
        </w:tc>
        <w:tc>
          <w:tcPr>
            <w:tcW w:w="1055" w:type="dxa"/>
            <w:tcBorders>
              <w:top w:val="single" w:sz="6" w:space="0" w:color="auto"/>
              <w:left w:val="single" w:sz="6" w:space="0" w:color="auto"/>
              <w:bottom w:val="single" w:sz="6" w:space="0" w:color="auto"/>
              <w:right w:val="single" w:sz="6" w:space="0" w:color="auto"/>
            </w:tcBorders>
            <w:noWrap/>
            <w:vAlign w:val="center"/>
          </w:tcPr>
          <w:p w14:paraId="0DB003C0" w14:textId="77777777" w:rsidR="00800C07" w:rsidRDefault="00000000">
            <w:pPr>
              <w:autoSpaceDE w:val="0"/>
              <w:adjustRightInd w:val="0"/>
              <w:snapToGrid w:val="0"/>
              <w:spacing w:before="100" w:beforeAutospacing="1" w:after="200" w:line="400" w:lineRule="exact"/>
              <w:jc w:val="center"/>
              <w:rPr>
                <w:rFonts w:ascii="仿宋_GB2312" w:eastAsia="仿宋_GB2312" w:hAnsi="Tahoma"/>
                <w:sz w:val="32"/>
                <w:szCs w:val="32"/>
              </w:rPr>
            </w:pPr>
            <w:r>
              <w:rPr>
                <w:rFonts w:ascii="仿宋_GB2312" w:eastAsia="仿宋_GB2312" w:hint="eastAsia"/>
                <w:sz w:val="32"/>
                <w:szCs w:val="32"/>
              </w:rPr>
              <w:t>33</w:t>
            </w:r>
          </w:p>
        </w:tc>
        <w:tc>
          <w:tcPr>
            <w:tcW w:w="1250" w:type="dxa"/>
            <w:tcBorders>
              <w:top w:val="single" w:sz="6" w:space="0" w:color="auto"/>
              <w:left w:val="single" w:sz="6" w:space="0" w:color="auto"/>
              <w:bottom w:val="single" w:sz="6" w:space="0" w:color="auto"/>
              <w:right w:val="single" w:sz="6" w:space="0" w:color="auto"/>
            </w:tcBorders>
            <w:noWrap/>
            <w:vAlign w:val="center"/>
          </w:tcPr>
          <w:p w14:paraId="348C86C9" w14:textId="77777777" w:rsidR="00800C07" w:rsidRDefault="00000000">
            <w:pPr>
              <w:autoSpaceDE w:val="0"/>
              <w:adjustRightInd w:val="0"/>
              <w:snapToGrid w:val="0"/>
              <w:spacing w:before="100" w:beforeAutospacing="1" w:after="200" w:line="400" w:lineRule="exact"/>
              <w:jc w:val="center"/>
              <w:rPr>
                <w:rFonts w:ascii="仿宋_GB2312" w:eastAsia="仿宋_GB2312" w:hAnsi="Tahoma"/>
                <w:sz w:val="32"/>
                <w:szCs w:val="32"/>
              </w:rPr>
            </w:pPr>
            <w:r>
              <w:rPr>
                <w:rFonts w:ascii="仿宋_GB2312" w:eastAsia="仿宋_GB2312" w:hint="eastAsia"/>
                <w:sz w:val="32"/>
                <w:szCs w:val="32"/>
              </w:rPr>
              <w:t>本科</w:t>
            </w:r>
          </w:p>
        </w:tc>
        <w:tc>
          <w:tcPr>
            <w:tcW w:w="1204" w:type="dxa"/>
            <w:tcBorders>
              <w:top w:val="single" w:sz="6" w:space="0" w:color="auto"/>
              <w:left w:val="single" w:sz="6" w:space="0" w:color="auto"/>
              <w:bottom w:val="single" w:sz="6" w:space="0" w:color="auto"/>
              <w:right w:val="single" w:sz="6" w:space="0" w:color="auto"/>
            </w:tcBorders>
            <w:noWrap/>
            <w:vAlign w:val="center"/>
          </w:tcPr>
          <w:p w14:paraId="0E1BA30A" w14:textId="77777777" w:rsidR="00800C07" w:rsidRDefault="00000000">
            <w:pPr>
              <w:autoSpaceDE w:val="0"/>
              <w:adjustRightInd w:val="0"/>
              <w:snapToGrid w:val="0"/>
              <w:spacing w:before="100" w:beforeAutospacing="1" w:after="200" w:line="400" w:lineRule="exact"/>
              <w:jc w:val="center"/>
              <w:rPr>
                <w:rFonts w:ascii="仿宋_GB2312" w:eastAsia="仿宋_GB2312" w:hAnsi="Tahoma"/>
                <w:sz w:val="32"/>
                <w:szCs w:val="32"/>
              </w:rPr>
            </w:pPr>
            <w:r>
              <w:rPr>
                <w:rFonts w:ascii="仿宋_GB2312" w:eastAsia="仿宋_GB2312" w:hint="eastAsia"/>
                <w:sz w:val="32"/>
                <w:szCs w:val="32"/>
              </w:rPr>
              <w:t>4</w:t>
            </w:r>
          </w:p>
        </w:tc>
        <w:tc>
          <w:tcPr>
            <w:tcW w:w="2024" w:type="dxa"/>
            <w:tcBorders>
              <w:top w:val="single" w:sz="6" w:space="0" w:color="auto"/>
              <w:left w:val="single" w:sz="6" w:space="0" w:color="auto"/>
              <w:bottom w:val="single" w:sz="6" w:space="0" w:color="auto"/>
              <w:right w:val="single" w:sz="4" w:space="0" w:color="auto"/>
            </w:tcBorders>
            <w:noWrap/>
            <w:vAlign w:val="center"/>
          </w:tcPr>
          <w:p w14:paraId="554A7E30" w14:textId="77777777" w:rsidR="00800C07" w:rsidRDefault="00000000">
            <w:pPr>
              <w:autoSpaceDE w:val="0"/>
              <w:adjustRightInd w:val="0"/>
              <w:snapToGrid w:val="0"/>
              <w:spacing w:before="100" w:beforeAutospacing="1" w:after="200" w:line="400" w:lineRule="exact"/>
              <w:ind w:firstLineChars="100" w:firstLine="320"/>
              <w:jc w:val="center"/>
              <w:rPr>
                <w:rFonts w:ascii="仿宋_GB2312" w:eastAsia="仿宋_GB2312" w:hAnsi="Tahoma"/>
                <w:sz w:val="32"/>
                <w:szCs w:val="32"/>
              </w:rPr>
            </w:pPr>
            <w:r>
              <w:rPr>
                <w:rFonts w:ascii="仿宋_GB2312" w:eastAsia="仿宋_GB2312" w:hint="eastAsia"/>
                <w:sz w:val="32"/>
                <w:szCs w:val="32"/>
              </w:rPr>
              <w:t>4人</w:t>
            </w:r>
          </w:p>
        </w:tc>
      </w:tr>
      <w:tr w:rsidR="00800C07" w14:paraId="6E328D2B" w14:textId="77777777">
        <w:trPr>
          <w:trHeight w:val="225"/>
          <w:jc w:val="center"/>
        </w:trPr>
        <w:tc>
          <w:tcPr>
            <w:tcW w:w="1695" w:type="dxa"/>
            <w:tcBorders>
              <w:top w:val="single" w:sz="6" w:space="0" w:color="auto"/>
              <w:left w:val="single" w:sz="4" w:space="0" w:color="auto"/>
              <w:bottom w:val="single" w:sz="6" w:space="0" w:color="auto"/>
              <w:right w:val="single" w:sz="4" w:space="0" w:color="auto"/>
            </w:tcBorders>
            <w:vAlign w:val="center"/>
          </w:tcPr>
          <w:p w14:paraId="6633638E" w14:textId="77777777" w:rsidR="00800C07" w:rsidRDefault="00000000">
            <w:pPr>
              <w:autoSpaceDE w:val="0"/>
              <w:adjustRightInd w:val="0"/>
              <w:snapToGrid w:val="0"/>
              <w:spacing w:before="100" w:beforeAutospacing="1" w:after="200" w:line="400" w:lineRule="exact"/>
              <w:jc w:val="center"/>
              <w:rPr>
                <w:rFonts w:ascii="仿宋_GB2312" w:eastAsia="仿宋_GB2312" w:hAnsi="Tahoma"/>
                <w:sz w:val="32"/>
                <w:szCs w:val="32"/>
              </w:rPr>
            </w:pPr>
            <w:r>
              <w:rPr>
                <w:rFonts w:ascii="仿宋_GB2312" w:eastAsia="仿宋_GB2312" w:hint="eastAsia"/>
                <w:sz w:val="32"/>
                <w:szCs w:val="32"/>
              </w:rPr>
              <w:t>市场营销</w:t>
            </w:r>
          </w:p>
        </w:tc>
        <w:tc>
          <w:tcPr>
            <w:tcW w:w="1055" w:type="dxa"/>
            <w:tcBorders>
              <w:top w:val="single" w:sz="6" w:space="0" w:color="auto"/>
              <w:left w:val="single" w:sz="6" w:space="0" w:color="auto"/>
              <w:bottom w:val="single" w:sz="6" w:space="0" w:color="auto"/>
              <w:right w:val="single" w:sz="6" w:space="0" w:color="auto"/>
            </w:tcBorders>
            <w:noWrap/>
            <w:vAlign w:val="center"/>
          </w:tcPr>
          <w:p w14:paraId="5C7F247D" w14:textId="77777777" w:rsidR="00800C07" w:rsidRDefault="00000000">
            <w:pPr>
              <w:autoSpaceDE w:val="0"/>
              <w:adjustRightInd w:val="0"/>
              <w:snapToGrid w:val="0"/>
              <w:spacing w:before="100" w:beforeAutospacing="1" w:after="200" w:line="400" w:lineRule="exact"/>
              <w:jc w:val="center"/>
              <w:rPr>
                <w:rFonts w:ascii="仿宋_GB2312" w:eastAsia="仿宋_GB2312" w:hAnsi="Tahoma"/>
                <w:sz w:val="32"/>
                <w:szCs w:val="32"/>
              </w:rPr>
            </w:pPr>
            <w:r>
              <w:rPr>
                <w:rFonts w:ascii="仿宋_GB2312" w:eastAsia="仿宋_GB2312" w:hint="eastAsia"/>
                <w:sz w:val="32"/>
                <w:szCs w:val="32"/>
              </w:rPr>
              <w:t>34</w:t>
            </w:r>
          </w:p>
        </w:tc>
        <w:tc>
          <w:tcPr>
            <w:tcW w:w="1250" w:type="dxa"/>
            <w:tcBorders>
              <w:top w:val="single" w:sz="6" w:space="0" w:color="auto"/>
              <w:left w:val="single" w:sz="6" w:space="0" w:color="auto"/>
              <w:bottom w:val="single" w:sz="6" w:space="0" w:color="auto"/>
              <w:right w:val="single" w:sz="6" w:space="0" w:color="auto"/>
            </w:tcBorders>
            <w:noWrap/>
            <w:vAlign w:val="center"/>
          </w:tcPr>
          <w:p w14:paraId="14A7AA73" w14:textId="77777777" w:rsidR="00800C07" w:rsidRDefault="00000000">
            <w:pPr>
              <w:autoSpaceDE w:val="0"/>
              <w:adjustRightInd w:val="0"/>
              <w:snapToGrid w:val="0"/>
              <w:spacing w:before="100" w:beforeAutospacing="1" w:after="200" w:line="400" w:lineRule="exact"/>
              <w:jc w:val="center"/>
              <w:rPr>
                <w:rFonts w:ascii="仿宋_GB2312" w:eastAsia="仿宋_GB2312" w:hAnsi="Tahoma"/>
                <w:sz w:val="32"/>
                <w:szCs w:val="32"/>
              </w:rPr>
            </w:pPr>
            <w:r>
              <w:rPr>
                <w:rFonts w:ascii="仿宋_GB2312" w:eastAsia="仿宋_GB2312" w:hint="eastAsia"/>
                <w:sz w:val="32"/>
                <w:szCs w:val="32"/>
              </w:rPr>
              <w:t>本科</w:t>
            </w:r>
          </w:p>
        </w:tc>
        <w:tc>
          <w:tcPr>
            <w:tcW w:w="1204" w:type="dxa"/>
            <w:tcBorders>
              <w:top w:val="single" w:sz="6" w:space="0" w:color="auto"/>
              <w:left w:val="single" w:sz="6" w:space="0" w:color="auto"/>
              <w:bottom w:val="single" w:sz="6" w:space="0" w:color="auto"/>
              <w:right w:val="single" w:sz="6" w:space="0" w:color="auto"/>
            </w:tcBorders>
            <w:noWrap/>
            <w:vAlign w:val="center"/>
          </w:tcPr>
          <w:p w14:paraId="7F42CBD9" w14:textId="77777777" w:rsidR="00800C07" w:rsidRDefault="00000000">
            <w:pPr>
              <w:autoSpaceDE w:val="0"/>
              <w:adjustRightInd w:val="0"/>
              <w:snapToGrid w:val="0"/>
              <w:spacing w:before="100" w:beforeAutospacing="1" w:after="200" w:line="400" w:lineRule="exact"/>
              <w:jc w:val="center"/>
              <w:rPr>
                <w:rFonts w:ascii="仿宋_GB2312" w:eastAsia="仿宋_GB2312" w:hAnsi="Tahoma"/>
                <w:sz w:val="32"/>
                <w:szCs w:val="32"/>
              </w:rPr>
            </w:pPr>
            <w:r>
              <w:rPr>
                <w:rFonts w:ascii="仿宋_GB2312" w:eastAsia="仿宋_GB2312" w:hint="eastAsia"/>
                <w:sz w:val="32"/>
                <w:szCs w:val="32"/>
              </w:rPr>
              <w:t>4</w:t>
            </w:r>
          </w:p>
        </w:tc>
        <w:tc>
          <w:tcPr>
            <w:tcW w:w="2024" w:type="dxa"/>
            <w:tcBorders>
              <w:top w:val="single" w:sz="6" w:space="0" w:color="auto"/>
              <w:left w:val="single" w:sz="6" w:space="0" w:color="auto"/>
              <w:bottom w:val="single" w:sz="6" w:space="0" w:color="auto"/>
              <w:right w:val="single" w:sz="4" w:space="0" w:color="auto"/>
            </w:tcBorders>
            <w:noWrap/>
            <w:vAlign w:val="center"/>
          </w:tcPr>
          <w:p w14:paraId="40934E60" w14:textId="77777777" w:rsidR="00800C07" w:rsidRDefault="00000000">
            <w:pPr>
              <w:autoSpaceDE w:val="0"/>
              <w:adjustRightInd w:val="0"/>
              <w:snapToGrid w:val="0"/>
              <w:spacing w:before="100" w:beforeAutospacing="1" w:after="200" w:line="400" w:lineRule="exact"/>
              <w:ind w:firstLineChars="100" w:firstLine="320"/>
              <w:jc w:val="center"/>
              <w:rPr>
                <w:rFonts w:ascii="仿宋_GB2312" w:eastAsia="仿宋_GB2312" w:hAnsi="Tahoma"/>
                <w:sz w:val="32"/>
                <w:szCs w:val="32"/>
              </w:rPr>
            </w:pPr>
            <w:r>
              <w:rPr>
                <w:rFonts w:ascii="仿宋_GB2312" w:eastAsia="仿宋_GB2312" w:hint="eastAsia"/>
                <w:sz w:val="32"/>
                <w:szCs w:val="32"/>
              </w:rPr>
              <w:t>4人</w:t>
            </w:r>
          </w:p>
        </w:tc>
      </w:tr>
      <w:tr w:rsidR="00800C07" w14:paraId="7F0B80AF" w14:textId="77777777">
        <w:trPr>
          <w:trHeight w:val="225"/>
          <w:jc w:val="center"/>
        </w:trPr>
        <w:tc>
          <w:tcPr>
            <w:tcW w:w="1695" w:type="dxa"/>
            <w:tcBorders>
              <w:top w:val="single" w:sz="6" w:space="0" w:color="auto"/>
              <w:left w:val="single" w:sz="4" w:space="0" w:color="auto"/>
              <w:bottom w:val="single" w:sz="12" w:space="0" w:color="auto"/>
              <w:right w:val="single" w:sz="4" w:space="0" w:color="auto"/>
            </w:tcBorders>
            <w:vAlign w:val="center"/>
          </w:tcPr>
          <w:p w14:paraId="245E91B9" w14:textId="77777777" w:rsidR="00800C07" w:rsidRDefault="00000000">
            <w:pPr>
              <w:autoSpaceDE w:val="0"/>
              <w:adjustRightInd w:val="0"/>
              <w:snapToGrid w:val="0"/>
              <w:spacing w:before="100" w:beforeAutospacing="1" w:after="200" w:line="400" w:lineRule="exact"/>
              <w:jc w:val="center"/>
              <w:rPr>
                <w:rFonts w:ascii="仿宋_GB2312" w:eastAsia="仿宋_GB2312" w:hAnsi="Tahoma"/>
                <w:sz w:val="32"/>
                <w:szCs w:val="32"/>
              </w:rPr>
            </w:pPr>
            <w:r>
              <w:rPr>
                <w:rFonts w:ascii="仿宋_GB2312" w:eastAsia="仿宋_GB2312" w:hint="eastAsia"/>
                <w:sz w:val="32"/>
                <w:szCs w:val="32"/>
              </w:rPr>
              <w:t>商务管理</w:t>
            </w:r>
          </w:p>
        </w:tc>
        <w:tc>
          <w:tcPr>
            <w:tcW w:w="1055" w:type="dxa"/>
            <w:tcBorders>
              <w:top w:val="single" w:sz="6" w:space="0" w:color="auto"/>
              <w:left w:val="single" w:sz="6" w:space="0" w:color="auto"/>
              <w:bottom w:val="single" w:sz="12" w:space="0" w:color="auto"/>
              <w:right w:val="single" w:sz="6" w:space="0" w:color="auto"/>
            </w:tcBorders>
            <w:noWrap/>
            <w:vAlign w:val="center"/>
          </w:tcPr>
          <w:p w14:paraId="5B093DA6" w14:textId="77777777" w:rsidR="00800C07" w:rsidRDefault="00000000">
            <w:pPr>
              <w:autoSpaceDE w:val="0"/>
              <w:adjustRightInd w:val="0"/>
              <w:snapToGrid w:val="0"/>
              <w:spacing w:before="100" w:beforeAutospacing="1" w:after="200" w:line="400" w:lineRule="exact"/>
              <w:jc w:val="center"/>
              <w:rPr>
                <w:rFonts w:ascii="仿宋_GB2312" w:eastAsia="仿宋_GB2312" w:hAnsi="Tahoma"/>
                <w:sz w:val="32"/>
                <w:szCs w:val="32"/>
              </w:rPr>
            </w:pPr>
            <w:r>
              <w:rPr>
                <w:rFonts w:ascii="仿宋_GB2312" w:eastAsia="仿宋_GB2312" w:hint="eastAsia"/>
                <w:sz w:val="32"/>
                <w:szCs w:val="32"/>
              </w:rPr>
              <w:t>278</w:t>
            </w:r>
          </w:p>
        </w:tc>
        <w:tc>
          <w:tcPr>
            <w:tcW w:w="1250" w:type="dxa"/>
            <w:tcBorders>
              <w:top w:val="single" w:sz="6" w:space="0" w:color="auto"/>
              <w:left w:val="single" w:sz="6" w:space="0" w:color="auto"/>
              <w:bottom w:val="single" w:sz="12" w:space="0" w:color="auto"/>
              <w:right w:val="single" w:sz="6" w:space="0" w:color="auto"/>
            </w:tcBorders>
            <w:noWrap/>
            <w:vAlign w:val="center"/>
          </w:tcPr>
          <w:p w14:paraId="0C8EE22C" w14:textId="77777777" w:rsidR="00800C07" w:rsidRDefault="00000000">
            <w:pPr>
              <w:autoSpaceDE w:val="0"/>
              <w:adjustRightInd w:val="0"/>
              <w:snapToGrid w:val="0"/>
              <w:spacing w:before="100" w:beforeAutospacing="1" w:after="200" w:line="400" w:lineRule="exact"/>
              <w:jc w:val="center"/>
              <w:rPr>
                <w:rFonts w:ascii="仿宋_GB2312" w:eastAsia="仿宋_GB2312" w:hAnsi="Tahoma"/>
                <w:sz w:val="32"/>
                <w:szCs w:val="32"/>
              </w:rPr>
            </w:pPr>
            <w:r>
              <w:rPr>
                <w:rFonts w:ascii="仿宋_GB2312" w:eastAsia="仿宋_GB2312" w:hint="eastAsia"/>
                <w:sz w:val="32"/>
                <w:szCs w:val="32"/>
              </w:rPr>
              <w:t>专科</w:t>
            </w:r>
          </w:p>
        </w:tc>
        <w:tc>
          <w:tcPr>
            <w:tcW w:w="1204" w:type="dxa"/>
            <w:tcBorders>
              <w:top w:val="single" w:sz="6" w:space="0" w:color="auto"/>
              <w:left w:val="single" w:sz="6" w:space="0" w:color="auto"/>
              <w:bottom w:val="single" w:sz="12" w:space="0" w:color="auto"/>
              <w:right w:val="single" w:sz="6" w:space="0" w:color="auto"/>
            </w:tcBorders>
            <w:noWrap/>
            <w:vAlign w:val="center"/>
          </w:tcPr>
          <w:p w14:paraId="608775CB" w14:textId="77777777" w:rsidR="00800C07" w:rsidRDefault="00000000">
            <w:pPr>
              <w:autoSpaceDE w:val="0"/>
              <w:adjustRightInd w:val="0"/>
              <w:snapToGrid w:val="0"/>
              <w:spacing w:before="100" w:beforeAutospacing="1" w:after="200" w:line="400" w:lineRule="exact"/>
              <w:jc w:val="center"/>
              <w:rPr>
                <w:rFonts w:ascii="仿宋_GB2312" w:eastAsia="仿宋_GB2312" w:hAnsi="Tahoma"/>
                <w:sz w:val="32"/>
                <w:szCs w:val="32"/>
              </w:rPr>
            </w:pPr>
            <w:r>
              <w:rPr>
                <w:rFonts w:ascii="仿宋_GB2312" w:eastAsia="仿宋_GB2312" w:hint="eastAsia"/>
                <w:sz w:val="32"/>
                <w:szCs w:val="32"/>
              </w:rPr>
              <w:t>3</w:t>
            </w:r>
          </w:p>
        </w:tc>
        <w:tc>
          <w:tcPr>
            <w:tcW w:w="2024" w:type="dxa"/>
            <w:tcBorders>
              <w:top w:val="single" w:sz="6" w:space="0" w:color="auto"/>
              <w:left w:val="single" w:sz="6" w:space="0" w:color="auto"/>
              <w:bottom w:val="single" w:sz="12" w:space="0" w:color="auto"/>
              <w:right w:val="single" w:sz="4" w:space="0" w:color="auto"/>
            </w:tcBorders>
            <w:noWrap/>
            <w:vAlign w:val="center"/>
          </w:tcPr>
          <w:p w14:paraId="47BED559" w14:textId="77777777" w:rsidR="00800C07" w:rsidRDefault="00000000">
            <w:pPr>
              <w:autoSpaceDE w:val="0"/>
              <w:adjustRightInd w:val="0"/>
              <w:snapToGrid w:val="0"/>
              <w:spacing w:before="100" w:beforeAutospacing="1" w:after="200" w:line="400" w:lineRule="exact"/>
              <w:ind w:firstLineChars="100" w:firstLine="320"/>
              <w:jc w:val="center"/>
              <w:rPr>
                <w:rFonts w:ascii="仿宋_GB2312" w:eastAsia="仿宋_GB2312" w:hAnsi="Tahoma"/>
                <w:sz w:val="32"/>
                <w:szCs w:val="32"/>
              </w:rPr>
            </w:pPr>
            <w:r>
              <w:rPr>
                <w:rFonts w:ascii="仿宋_GB2312" w:eastAsia="仿宋_GB2312" w:hint="eastAsia"/>
                <w:sz w:val="32"/>
                <w:szCs w:val="32"/>
              </w:rPr>
              <w:t>28人</w:t>
            </w:r>
          </w:p>
        </w:tc>
      </w:tr>
    </w:tbl>
    <w:p w14:paraId="7754B31B" w14:textId="77777777" w:rsidR="00800C07" w:rsidRDefault="00000000">
      <w:pPr>
        <w:rPr>
          <w:rFonts w:ascii="黑体" w:eastAsia="黑体" w:hAnsi="黑体"/>
          <w:sz w:val="32"/>
          <w:szCs w:val="32"/>
        </w:rPr>
      </w:pPr>
      <w:r>
        <w:rPr>
          <w:rFonts w:ascii="仿宋_GB2312" w:eastAsia="仿宋_GB2312" w:hint="eastAsia"/>
          <w:sz w:val="32"/>
          <w:szCs w:val="32"/>
        </w:rPr>
        <w:t xml:space="preserve">    </w:t>
      </w:r>
      <w:r>
        <w:rPr>
          <w:rFonts w:ascii="黑体" w:eastAsia="黑体" w:hAnsi="黑体" w:hint="eastAsia"/>
          <w:sz w:val="32"/>
          <w:szCs w:val="32"/>
        </w:rPr>
        <w:t>第三条 资格条件</w:t>
      </w:r>
    </w:p>
    <w:p w14:paraId="076804A1" w14:textId="77777777" w:rsidR="00800C07" w:rsidRDefault="00000000">
      <w:pPr>
        <w:ind w:firstLineChars="200" w:firstLine="640"/>
        <w:rPr>
          <w:rFonts w:ascii="仿宋_GB2312" w:eastAsia="仿宋_GB2312"/>
          <w:sz w:val="32"/>
          <w:szCs w:val="32"/>
        </w:rPr>
      </w:pPr>
      <w:r>
        <w:rPr>
          <w:rFonts w:ascii="仿宋_GB2312" w:eastAsia="仿宋_GB2312" w:hint="eastAsia"/>
          <w:sz w:val="32"/>
          <w:szCs w:val="32"/>
        </w:rPr>
        <w:t>申请转专业的学生应符合以下条件：</w:t>
      </w:r>
    </w:p>
    <w:p w14:paraId="3C8644AB" w14:textId="77777777" w:rsidR="00800C07" w:rsidRDefault="00000000">
      <w:pPr>
        <w:ind w:firstLineChars="200" w:firstLine="640"/>
        <w:rPr>
          <w:rFonts w:ascii="仿宋_GB2312" w:eastAsia="仿宋_GB2312"/>
          <w:sz w:val="32"/>
          <w:szCs w:val="32"/>
        </w:rPr>
      </w:pPr>
      <w:r>
        <w:rPr>
          <w:rFonts w:ascii="仿宋_GB2312" w:eastAsia="仿宋_GB2312" w:hint="eastAsia"/>
          <w:sz w:val="32"/>
          <w:szCs w:val="32"/>
        </w:rPr>
        <w:t>申请转专业的学生须符合《山东财经大学东方学院普通本专科学生转专业管理办法（试行）》（鲁财大东方教字〔2023〕30号）第二章规定的资格条件。</w:t>
      </w:r>
    </w:p>
    <w:p w14:paraId="06052619" w14:textId="77777777" w:rsidR="00800C07" w:rsidRDefault="00000000">
      <w:pPr>
        <w:ind w:firstLineChars="200" w:firstLine="640"/>
        <w:rPr>
          <w:rFonts w:ascii="黑体" w:eastAsia="黑体" w:hAnsi="黑体"/>
          <w:sz w:val="32"/>
          <w:szCs w:val="32"/>
        </w:rPr>
      </w:pPr>
      <w:r>
        <w:rPr>
          <w:rFonts w:ascii="黑体" w:eastAsia="黑体" w:hAnsi="黑体" w:hint="eastAsia"/>
          <w:sz w:val="32"/>
          <w:szCs w:val="32"/>
        </w:rPr>
        <w:t>第四条 转专业流程</w:t>
      </w:r>
    </w:p>
    <w:p w14:paraId="0E93359F" w14:textId="77777777" w:rsidR="00800C07" w:rsidRDefault="00000000">
      <w:pPr>
        <w:ind w:firstLineChars="200" w:firstLine="640"/>
        <w:rPr>
          <w:rFonts w:ascii="仿宋_GB2312" w:eastAsia="仿宋_GB2312"/>
          <w:sz w:val="32"/>
          <w:szCs w:val="32"/>
        </w:rPr>
      </w:pPr>
      <w:r>
        <w:rPr>
          <w:rFonts w:ascii="仿宋_GB2312" w:eastAsia="仿宋_GB2312" w:hint="eastAsia"/>
          <w:sz w:val="32"/>
          <w:szCs w:val="32"/>
        </w:rPr>
        <w:t>（一）学生报名</w:t>
      </w:r>
    </w:p>
    <w:p w14:paraId="407CD281" w14:textId="77777777" w:rsidR="00800C07" w:rsidRDefault="00000000">
      <w:pPr>
        <w:ind w:firstLineChars="200" w:firstLine="640"/>
        <w:rPr>
          <w:rFonts w:ascii="仿宋_GB2312" w:eastAsia="仿宋_GB2312"/>
          <w:sz w:val="32"/>
          <w:szCs w:val="32"/>
        </w:rPr>
      </w:pPr>
      <w:r>
        <w:rPr>
          <w:rFonts w:ascii="仿宋_GB2312" w:eastAsia="仿宋_GB2312" w:hint="eastAsia"/>
          <w:sz w:val="32"/>
          <w:szCs w:val="32"/>
        </w:rPr>
        <w:lastRenderedPageBreak/>
        <w:t>符合转专业资格条件的学生于2024年4月3日至4月8日登录学校教务管理系统进行网上报名，填报志愿，并系统提交相关电子材料及纸质材料交学生所在学院审批。具体材料包括：“山东财经大学东方学院转专业申请表”、“第一学期所有课程期末考试成绩单”（教务处盖章有效）。</w:t>
      </w:r>
    </w:p>
    <w:p w14:paraId="0FA46C1E" w14:textId="77777777" w:rsidR="00800C07" w:rsidRDefault="00000000">
      <w:pPr>
        <w:ind w:firstLineChars="200" w:firstLine="640"/>
        <w:rPr>
          <w:rFonts w:ascii="仿宋_GB2312" w:eastAsia="仿宋_GB2312"/>
          <w:sz w:val="32"/>
          <w:szCs w:val="32"/>
        </w:rPr>
      </w:pPr>
      <w:r>
        <w:rPr>
          <w:rFonts w:ascii="仿宋_GB2312" w:eastAsia="仿宋_GB2312" w:hint="eastAsia"/>
          <w:sz w:val="32"/>
          <w:szCs w:val="32"/>
        </w:rPr>
        <w:t>所在学院审核完毕后，于2024年4月9日至4月11日对批准转出学生名单进行公示，公示无异议后将名单及材料报教务处，并在教务管理系统中对学生申请进行审核。</w:t>
      </w:r>
    </w:p>
    <w:p w14:paraId="31D478CA" w14:textId="77777777" w:rsidR="00800C07" w:rsidRDefault="00000000">
      <w:pPr>
        <w:ind w:firstLineChars="200" w:firstLine="640"/>
        <w:rPr>
          <w:rFonts w:ascii="仿宋_GB2312" w:eastAsia="仿宋_GB2312"/>
          <w:sz w:val="32"/>
          <w:szCs w:val="32"/>
        </w:rPr>
      </w:pPr>
      <w:r>
        <w:rPr>
          <w:rFonts w:ascii="仿宋_GB2312" w:eastAsia="仿宋_GB2312" w:hint="eastAsia"/>
          <w:sz w:val="32"/>
          <w:szCs w:val="32"/>
        </w:rPr>
        <w:t>学生可通过教务系统查询审批状态，同时及时关注我院网站选拔通知安排，申请转入我院的学生请提前在学院网站了解拟转入专业的人才培养方案。</w:t>
      </w:r>
    </w:p>
    <w:p w14:paraId="3F2AB892" w14:textId="77777777" w:rsidR="00800C07" w:rsidRDefault="00000000">
      <w:pPr>
        <w:ind w:firstLineChars="200" w:firstLine="640"/>
        <w:rPr>
          <w:rFonts w:ascii="仿宋_GB2312" w:eastAsia="仿宋_GB2312"/>
          <w:sz w:val="32"/>
          <w:szCs w:val="32"/>
        </w:rPr>
      </w:pPr>
      <w:r>
        <w:rPr>
          <w:rFonts w:ascii="仿宋_GB2312" w:eastAsia="仿宋_GB2312" w:hint="eastAsia"/>
          <w:sz w:val="32"/>
          <w:szCs w:val="32"/>
        </w:rPr>
        <w:t>（二）学院选拔</w:t>
      </w:r>
    </w:p>
    <w:p w14:paraId="64F7950D" w14:textId="77777777" w:rsidR="00800C07" w:rsidRDefault="00000000">
      <w:pPr>
        <w:ind w:firstLineChars="200" w:firstLine="640"/>
        <w:rPr>
          <w:rFonts w:ascii="仿宋_GB2312" w:eastAsia="仿宋_GB2312"/>
          <w:sz w:val="32"/>
          <w:szCs w:val="32"/>
        </w:rPr>
      </w:pPr>
      <w:r>
        <w:rPr>
          <w:rFonts w:ascii="仿宋_GB2312" w:eastAsia="仿宋_GB2312" w:hint="eastAsia"/>
          <w:sz w:val="32"/>
          <w:szCs w:val="32"/>
        </w:rPr>
        <w:t>学院选拔时间为2024年4月16日至4月19日，面试时间、地点及要求将另行通知，请随时关注学院官网（https://www.sdor.cn/u5de5/）。学院转专业工作组负责组织选拔工作，根据学生转专业报名基本情况、第一学期所有课程期末考试成绩及面试情况，确定拟录取名单。</w:t>
      </w:r>
    </w:p>
    <w:p w14:paraId="091DEFAA" w14:textId="77777777" w:rsidR="00800C07" w:rsidRDefault="00000000">
      <w:pPr>
        <w:ind w:firstLineChars="200" w:firstLine="640"/>
        <w:rPr>
          <w:rFonts w:ascii="仿宋_GB2312" w:eastAsia="仿宋_GB2312"/>
          <w:sz w:val="32"/>
          <w:szCs w:val="32"/>
        </w:rPr>
      </w:pPr>
      <w:r>
        <w:rPr>
          <w:rFonts w:ascii="仿宋_GB2312" w:eastAsia="仿宋_GB2312" w:hint="eastAsia"/>
          <w:sz w:val="32"/>
          <w:szCs w:val="32"/>
        </w:rPr>
        <w:t>1. 按照“志愿优先，成绩排序”原则进行选拔。若被录取的学生有自愿放弃转专业的，则按转专业成绩排序由高到低依次递补，录满名额为止。在转专业成绩相同的情况下， 以微积分（本科）、或经济数学基础（专科）课程成绩高低排序。</w:t>
      </w:r>
    </w:p>
    <w:p w14:paraId="5C7FFB5D" w14:textId="77777777" w:rsidR="00800C07" w:rsidRDefault="00000000">
      <w:pPr>
        <w:ind w:firstLineChars="200" w:firstLine="640"/>
        <w:rPr>
          <w:rFonts w:ascii="仿宋_GB2312" w:eastAsia="仿宋_GB2312"/>
          <w:sz w:val="32"/>
          <w:szCs w:val="32"/>
        </w:rPr>
      </w:pPr>
      <w:r>
        <w:rPr>
          <w:rFonts w:ascii="仿宋_GB2312" w:eastAsia="仿宋_GB2312" w:hint="eastAsia"/>
          <w:sz w:val="32"/>
          <w:szCs w:val="32"/>
        </w:rPr>
        <w:lastRenderedPageBreak/>
        <w:t>2. 学院转专业工作组负责对申请转专业的学生资格进行审查，并对符合申请资格的学生进行面试选拔，面试总成绩100分，包括思想品质、学业规划、专业认识、专业潜力、语言沟通、综合素质等方面。</w:t>
      </w:r>
    </w:p>
    <w:p w14:paraId="34DAF7E0" w14:textId="77777777" w:rsidR="00800C07" w:rsidRDefault="00000000">
      <w:pPr>
        <w:ind w:firstLineChars="200" w:firstLine="640"/>
        <w:rPr>
          <w:rFonts w:ascii="仿宋_GB2312" w:eastAsia="仿宋_GB2312"/>
          <w:sz w:val="32"/>
          <w:szCs w:val="32"/>
        </w:rPr>
      </w:pPr>
      <w:r>
        <w:rPr>
          <w:rFonts w:ascii="仿宋_GB2312" w:eastAsia="仿宋_GB2312" w:hint="eastAsia"/>
          <w:sz w:val="32"/>
          <w:szCs w:val="32"/>
        </w:rPr>
        <w:t>3. 最终转专业成绩由第一学期所有课程期末考试平均成绩和面试成绩组成。其中，第一学期所有课程平均成绩占50%、面试成绩占50%。</w:t>
      </w:r>
    </w:p>
    <w:p w14:paraId="4F642517" w14:textId="77777777" w:rsidR="00800C07" w:rsidRDefault="00000000">
      <w:pPr>
        <w:ind w:firstLineChars="200" w:firstLine="640"/>
        <w:rPr>
          <w:rFonts w:ascii="仿宋_GB2312" w:eastAsia="仿宋_GB2312"/>
          <w:sz w:val="32"/>
          <w:szCs w:val="32"/>
        </w:rPr>
      </w:pPr>
      <w:r>
        <w:rPr>
          <w:rFonts w:ascii="仿宋_GB2312" w:eastAsia="仿宋_GB2312" w:hint="eastAsia"/>
          <w:sz w:val="32"/>
          <w:szCs w:val="32"/>
        </w:rPr>
        <w:t>（三）确定录取名单</w:t>
      </w:r>
    </w:p>
    <w:p w14:paraId="4FEFBF97" w14:textId="7450EE22" w:rsidR="00800C07" w:rsidRDefault="00000000">
      <w:pPr>
        <w:ind w:firstLineChars="200" w:firstLine="640"/>
        <w:rPr>
          <w:rFonts w:ascii="仿宋_GB2312" w:eastAsia="仿宋_GB2312"/>
          <w:sz w:val="32"/>
          <w:szCs w:val="32"/>
        </w:rPr>
      </w:pPr>
      <w:r>
        <w:rPr>
          <w:rFonts w:ascii="仿宋_GB2312" w:eastAsia="仿宋_GB2312" w:hint="eastAsia"/>
          <w:sz w:val="32"/>
          <w:szCs w:val="32"/>
        </w:rPr>
        <w:t>学院在确定考核结果和各专业拟接收学生名单后，于2024年4月22日至2月24日在学院网站（https://www.sdor.cn/u5de5/）进行公示，公示无异议后将名单及材料上报教务处审核，经学校审批后，</w:t>
      </w:r>
      <w:r w:rsidR="00594BEB">
        <w:rPr>
          <w:rFonts w:ascii="仿宋_GB2312" w:eastAsia="仿宋_GB2312" w:hint="eastAsia"/>
          <w:sz w:val="32"/>
          <w:szCs w:val="32"/>
        </w:rPr>
        <w:t>于下学期初</w:t>
      </w:r>
      <w:r>
        <w:rPr>
          <w:rFonts w:ascii="仿宋_GB2312" w:eastAsia="仿宋_GB2312" w:hint="eastAsia"/>
          <w:sz w:val="32"/>
          <w:szCs w:val="32"/>
        </w:rPr>
        <w:t>办理转专业学籍异动，编入相应班级就读。</w:t>
      </w:r>
    </w:p>
    <w:p w14:paraId="3B95F4B3" w14:textId="77777777" w:rsidR="00800C07" w:rsidRDefault="00000000">
      <w:pPr>
        <w:ind w:firstLineChars="200" w:firstLine="640"/>
        <w:rPr>
          <w:rFonts w:ascii="黑体" w:eastAsia="黑体" w:hAnsi="黑体"/>
          <w:sz w:val="32"/>
          <w:szCs w:val="32"/>
        </w:rPr>
      </w:pPr>
      <w:r>
        <w:rPr>
          <w:rFonts w:ascii="黑体" w:eastAsia="黑体" w:hAnsi="黑体" w:hint="eastAsia"/>
          <w:sz w:val="32"/>
          <w:szCs w:val="32"/>
        </w:rPr>
        <w:t>第五条 附则</w:t>
      </w:r>
    </w:p>
    <w:p w14:paraId="02D93FA3" w14:textId="77777777" w:rsidR="00800C07" w:rsidRDefault="00000000">
      <w:pPr>
        <w:ind w:firstLineChars="200" w:firstLine="640"/>
        <w:rPr>
          <w:rFonts w:ascii="仿宋_GB2312" w:eastAsia="仿宋_GB2312"/>
          <w:sz w:val="32"/>
          <w:szCs w:val="32"/>
        </w:rPr>
      </w:pPr>
      <w:r>
        <w:rPr>
          <w:rFonts w:ascii="仿宋_GB2312" w:eastAsia="仿宋_GB2312" w:hint="eastAsia"/>
          <w:sz w:val="32"/>
          <w:szCs w:val="32"/>
        </w:rPr>
        <w:t>本方案由工商管理学院转专业工作组办公室负责解释。未尽事宜，遵照《山东财经大学东方学院普通本专科学生转专业管理办法（试行）》（鲁财大东方教字〔2023〕30号）及相关文件办理。</w:t>
      </w:r>
    </w:p>
    <w:p w14:paraId="636B0410" w14:textId="77777777" w:rsidR="00800C07" w:rsidRDefault="00000000">
      <w:pPr>
        <w:ind w:firstLineChars="200" w:firstLine="640"/>
        <w:rPr>
          <w:rFonts w:ascii="仿宋_GB2312" w:eastAsia="仿宋_GB2312"/>
          <w:sz w:val="32"/>
          <w:szCs w:val="32"/>
        </w:rPr>
      </w:pPr>
      <w:r>
        <w:rPr>
          <w:rFonts w:ascii="仿宋_GB2312" w:eastAsia="仿宋_GB2312" w:hint="eastAsia"/>
          <w:sz w:val="32"/>
          <w:szCs w:val="32"/>
        </w:rPr>
        <w:t>联系方式：0538-5397856</w:t>
      </w:r>
    </w:p>
    <w:p w14:paraId="1B87CE55" w14:textId="77777777" w:rsidR="00800C07" w:rsidRDefault="00000000">
      <w:pPr>
        <w:ind w:firstLineChars="200" w:firstLine="640"/>
        <w:rPr>
          <w:rFonts w:ascii="仿宋_GB2312" w:eastAsia="仿宋_GB2312"/>
          <w:sz w:val="32"/>
          <w:szCs w:val="32"/>
        </w:rPr>
      </w:pPr>
      <w:r>
        <w:rPr>
          <w:rFonts w:ascii="仿宋_GB2312" w:eastAsia="仿宋_GB2312" w:hint="eastAsia"/>
          <w:sz w:val="32"/>
          <w:szCs w:val="32"/>
        </w:rPr>
        <w:t xml:space="preserve">联系人：毕老师、王老师                                                                                                </w:t>
      </w:r>
    </w:p>
    <w:p w14:paraId="4403484E" w14:textId="77777777" w:rsidR="00800C07" w:rsidRDefault="00000000">
      <w:pPr>
        <w:ind w:firstLineChars="200" w:firstLine="640"/>
        <w:jc w:val="right"/>
        <w:rPr>
          <w:rFonts w:ascii="仿宋_GB2312" w:eastAsia="仿宋_GB2312"/>
          <w:sz w:val="32"/>
          <w:szCs w:val="32"/>
        </w:rPr>
      </w:pPr>
      <w:r>
        <w:rPr>
          <w:rFonts w:ascii="仿宋_GB2312" w:eastAsia="仿宋_GB2312" w:hint="eastAsia"/>
          <w:sz w:val="32"/>
          <w:szCs w:val="32"/>
        </w:rPr>
        <w:t>工商管理学院</w:t>
      </w:r>
    </w:p>
    <w:p w14:paraId="4CF99F5E" w14:textId="77777777" w:rsidR="00800C07" w:rsidRDefault="00000000">
      <w:pPr>
        <w:ind w:firstLineChars="200" w:firstLine="640"/>
        <w:jc w:val="right"/>
        <w:rPr>
          <w:rFonts w:ascii="仿宋_GB2312" w:eastAsia="仿宋_GB2312"/>
          <w:sz w:val="32"/>
          <w:szCs w:val="32"/>
        </w:rPr>
      </w:pPr>
      <w:r>
        <w:rPr>
          <w:rFonts w:ascii="仿宋_GB2312" w:eastAsia="仿宋_GB2312" w:hint="eastAsia"/>
          <w:sz w:val="32"/>
          <w:szCs w:val="32"/>
        </w:rPr>
        <w:t>2024年3月27日</w:t>
      </w:r>
    </w:p>
    <w:sectPr w:rsidR="00800C0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OWVlMTNiMzY0ZGQ1ZmUyYzQ5ZGFjNzQ2NjU3ZDc3ODEifQ=="/>
  </w:docVars>
  <w:rsids>
    <w:rsidRoot w:val="00DC1A11"/>
    <w:rsid w:val="000E0633"/>
    <w:rsid w:val="0030168D"/>
    <w:rsid w:val="003854DD"/>
    <w:rsid w:val="00594BEB"/>
    <w:rsid w:val="00676B1E"/>
    <w:rsid w:val="00795C9C"/>
    <w:rsid w:val="00800C07"/>
    <w:rsid w:val="008D554B"/>
    <w:rsid w:val="00B84336"/>
    <w:rsid w:val="00C01A54"/>
    <w:rsid w:val="00D4528D"/>
    <w:rsid w:val="00DC1A11"/>
    <w:rsid w:val="00E5063E"/>
    <w:rsid w:val="697147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53B96"/>
  <w15:docId w15:val="{717E62B6-8217-47BB-8B75-C3421F452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217</Words>
  <Characters>1240</Characters>
  <Application>Microsoft Office Word</Application>
  <DocSecurity>0</DocSecurity>
  <Lines>10</Lines>
  <Paragraphs>2</Paragraphs>
  <ScaleCrop>false</ScaleCrop>
  <Company>MS</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宗雯雯</cp:lastModifiedBy>
  <cp:revision>4</cp:revision>
  <dcterms:created xsi:type="dcterms:W3CDTF">2024-03-25T06:33:00Z</dcterms:created>
  <dcterms:modified xsi:type="dcterms:W3CDTF">2024-04-01T06:22:00Z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0D12F68AF7674340808A0AA68EA238D2_12</vt:lpwstr>
  </property>
</Properties>
</file>