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/>
          <w:sz w:val="44"/>
          <w:szCs w:val="44"/>
          <w:lang w:val="en-US" w:eastAsia="zh-CN"/>
        </w:rPr>
      </w:pPr>
      <w:bookmarkStart w:id="0" w:name="_top"/>
      <w:r>
        <w:rPr>
          <w:rFonts w:hint="eastAsia" w:ascii="微软雅黑" w:hAnsi="微软雅黑" w:eastAsia="微软雅黑"/>
          <w:sz w:val="44"/>
          <w:szCs w:val="44"/>
        </w:rPr>
        <w:t>疫情期间</w:t>
      </w:r>
      <w:r>
        <w:rPr>
          <w:rFonts w:hint="eastAsia" w:ascii="微软雅黑" w:hAnsi="微软雅黑" w:eastAsia="微软雅黑"/>
          <w:sz w:val="44"/>
          <w:szCs w:val="44"/>
          <w:lang w:val="en-US" w:eastAsia="zh-CN"/>
        </w:rPr>
        <w:t>高顿教育院校免费课程资源</w:t>
      </w:r>
    </w:p>
    <w:bookmarkEnd w:id="0"/>
    <w:p>
      <w:pPr>
        <w:jc w:val="center"/>
        <w:rPr>
          <w:rFonts w:hint="eastAsia" w:ascii="微软雅黑" w:hAnsi="微软雅黑" w:eastAsia="微软雅黑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微软雅黑" w:hAnsi="微软雅黑" w:eastAsia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/>
          <w:sz w:val="30"/>
          <w:szCs w:val="30"/>
          <w:lang w:val="en-US" w:eastAsia="zh-CN"/>
        </w:rPr>
        <w:t>财税实训类课程</w:t>
      </w:r>
    </w:p>
    <w:p>
      <w:pPr>
        <w:numPr>
          <w:ilvl w:val="0"/>
          <w:numId w:val="0"/>
        </w:numPr>
        <w:jc w:val="both"/>
        <w:rPr>
          <w:rFonts w:hint="default" w:ascii="微软雅黑" w:hAnsi="微软雅黑" w:eastAsia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1.管理会计</w:t>
      </w:r>
    </w:p>
    <w:p>
      <w:pPr>
        <w:ind w:firstLine="210" w:firstLineChars="100"/>
        <w:jc w:val="both"/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  <w:t>预算管理  分析与决策  成本管理  内部控制  内部审计  管理会计综合</w:t>
      </w:r>
    </w:p>
    <w:p>
      <w:pPr>
        <w:numPr>
          <w:ilvl w:val="0"/>
          <w:numId w:val="2"/>
        </w:numPr>
        <w:jc w:val="both"/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>财务会计</w:t>
      </w:r>
    </w:p>
    <w:p>
      <w:pPr>
        <w:numPr>
          <w:ilvl w:val="0"/>
          <w:numId w:val="0"/>
        </w:numPr>
        <w:jc w:val="both"/>
        <w:rPr>
          <w:rFonts w:hint="default" w:ascii="微软雅黑" w:hAnsi="微软雅黑" w:eastAsia="微软雅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  <w:t xml:space="preserve">会计准则  会计核算  共享中心  外部审计 </w:t>
      </w:r>
    </w:p>
    <w:p>
      <w:pPr>
        <w:numPr>
          <w:ilvl w:val="0"/>
          <w:numId w:val="2"/>
        </w:numPr>
        <w:jc w:val="both"/>
        <w:rPr>
          <w:rFonts w:hint="default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>财资管理</w:t>
      </w:r>
    </w:p>
    <w:p>
      <w:pPr>
        <w:numPr>
          <w:ilvl w:val="0"/>
          <w:numId w:val="0"/>
        </w:numPr>
        <w:jc w:val="both"/>
        <w:rPr>
          <w:rFonts w:hint="default" w:ascii="微软雅黑" w:hAnsi="微软雅黑" w:eastAsia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  <w:t xml:space="preserve">资金管理  融资上市  投资并购  股权激励 </w:t>
      </w:r>
    </w:p>
    <w:p>
      <w:pPr>
        <w:numPr>
          <w:ilvl w:val="0"/>
          <w:numId w:val="2"/>
        </w:numPr>
        <w:jc w:val="both"/>
        <w:rPr>
          <w:rFonts w:hint="default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>税务管理</w:t>
      </w:r>
    </w:p>
    <w:p>
      <w:pPr>
        <w:numPr>
          <w:ilvl w:val="0"/>
          <w:numId w:val="0"/>
        </w:numPr>
        <w:ind w:left="280" w:hanging="280" w:hangingChars="100"/>
        <w:jc w:val="both"/>
        <w:rPr>
          <w:rFonts w:hint="default" w:ascii="微软雅黑" w:hAnsi="微软雅黑" w:eastAsia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  <w:t xml:space="preserve">纳税申报及核算  经营环境税务筹划  税务稽查及风险管理  跨境业务及涉税安排  资本运作及税务筹划 </w:t>
      </w:r>
    </w:p>
    <w:p>
      <w:pPr>
        <w:numPr>
          <w:ilvl w:val="0"/>
          <w:numId w:val="2"/>
        </w:numPr>
        <w:jc w:val="both"/>
        <w:rPr>
          <w:rFonts w:hint="default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>工具软技能</w:t>
      </w:r>
    </w:p>
    <w:p>
      <w:pPr>
        <w:numPr>
          <w:ilvl w:val="0"/>
          <w:numId w:val="0"/>
        </w:numPr>
        <w:ind w:firstLine="210" w:firstLineChars="100"/>
        <w:jc w:val="both"/>
        <w:rPr>
          <w:rFonts w:hint="default" w:ascii="微软雅黑" w:hAnsi="微软雅黑" w:eastAsia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  <w:t>Excel入门与进阶  自我管理与发展  沟通汇报技巧  组织与领导力</w:t>
      </w:r>
    </w:p>
    <w:p>
      <w:pPr>
        <w:numPr>
          <w:ilvl w:val="0"/>
          <w:numId w:val="2"/>
        </w:numPr>
        <w:jc w:val="both"/>
        <w:rPr>
          <w:rFonts w:hint="default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>非财系列</w:t>
      </w:r>
    </w:p>
    <w:p>
      <w:pPr>
        <w:numPr>
          <w:ilvl w:val="0"/>
          <w:numId w:val="0"/>
        </w:numPr>
        <w:ind w:firstLine="210" w:firstLineChars="100"/>
        <w:jc w:val="both"/>
        <w:rPr>
          <w:rFonts w:hint="default" w:ascii="微软雅黑" w:hAnsi="微软雅黑" w:eastAsia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  <w:t>非财务经理的财务课程  非财务人员的财务课程  决策者的财务课程</w:t>
      </w:r>
    </w:p>
    <w:p>
      <w:pPr>
        <w:numPr>
          <w:ilvl w:val="0"/>
          <w:numId w:val="2"/>
        </w:numPr>
        <w:jc w:val="both"/>
        <w:rPr>
          <w:rFonts w:hint="default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>财务转型</w:t>
      </w:r>
    </w:p>
    <w:p>
      <w:pPr>
        <w:numPr>
          <w:ilvl w:val="0"/>
          <w:numId w:val="0"/>
        </w:numPr>
        <w:ind w:firstLine="210" w:firstLineChars="100"/>
        <w:jc w:val="both"/>
        <w:rPr>
          <w:rFonts w:hint="default" w:ascii="微软雅黑" w:hAnsi="微软雅黑" w:eastAsia="微软雅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  <w:t>战略财务  业务财务  共享财务  思维财务</w:t>
      </w:r>
      <w:r>
        <w:rPr>
          <w:rFonts w:hint="eastAsia" w:ascii="微软雅黑" w:hAnsi="微软雅黑" w:eastAsia="微软雅黑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2"/>
        </w:numPr>
        <w:jc w:val="both"/>
        <w:rPr>
          <w:rFonts w:hint="default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>行业实践</w:t>
      </w:r>
    </w:p>
    <w:p>
      <w:pPr>
        <w:numPr>
          <w:ilvl w:val="0"/>
          <w:numId w:val="0"/>
        </w:numPr>
        <w:ind w:firstLine="210" w:firstLineChars="100"/>
        <w:jc w:val="both"/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  <w:t>生产制造业  快消服务业  医药行业  房地产行业</w:t>
      </w:r>
    </w:p>
    <w:p>
      <w:pPr>
        <w:numPr>
          <w:ilvl w:val="0"/>
          <w:numId w:val="1"/>
        </w:numPr>
        <w:jc w:val="both"/>
        <w:rPr>
          <w:rFonts w:hint="eastAsia" w:ascii="微软雅黑" w:hAnsi="微软雅黑" w:eastAsia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/>
          <w:sz w:val="30"/>
          <w:szCs w:val="30"/>
          <w:lang w:val="en-US" w:eastAsia="zh-CN"/>
        </w:rPr>
        <w:t>证书考试类</w:t>
      </w:r>
    </w:p>
    <w:p>
      <w:pPr>
        <w:numPr>
          <w:ilvl w:val="0"/>
          <w:numId w:val="3"/>
        </w:numPr>
        <w:jc w:val="both"/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>国内财会证书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 xml:space="preserve"> CPA  税务师  初级会计职称  中级会计职称  高级会计职称  管理会计师   审计师 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>国际财会证书</w:t>
      </w:r>
    </w:p>
    <w:p>
      <w:pPr>
        <w:numPr>
          <w:ilvl w:val="0"/>
          <w:numId w:val="0"/>
        </w:numPr>
        <w:ind w:leftChars="0" w:firstLine="240" w:firstLineChars="100"/>
        <w:jc w:val="both"/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 xml:space="preserve">ACCA  CMA  USCPA 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default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>国内金融证书</w:t>
      </w:r>
    </w:p>
    <w:p>
      <w:pPr>
        <w:numPr>
          <w:ilvl w:val="0"/>
          <w:numId w:val="0"/>
        </w:numPr>
        <w:ind w:leftChars="0"/>
        <w:jc w:val="both"/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 xml:space="preserve">  基金从业  银行从业  证券从业  期货从业  期货从业  中级经济师 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default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>国际金融证书</w:t>
      </w:r>
    </w:p>
    <w:p>
      <w:pPr>
        <w:numPr>
          <w:ilvl w:val="0"/>
          <w:numId w:val="0"/>
        </w:numPr>
        <w:ind w:leftChars="0"/>
        <w:jc w:val="both"/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 xml:space="preserve">  CFA  FRM  CAIA  CWMA </w:t>
      </w:r>
    </w:p>
    <w:p>
      <w:pPr>
        <w:numPr>
          <w:ilvl w:val="0"/>
          <w:numId w:val="1"/>
        </w:numPr>
        <w:jc w:val="both"/>
        <w:rPr>
          <w:rFonts w:hint="eastAsia" w:ascii="微软雅黑" w:hAnsi="微软雅黑" w:eastAsia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/>
          <w:sz w:val="30"/>
          <w:szCs w:val="30"/>
          <w:lang w:val="en-US" w:eastAsia="zh-CN"/>
        </w:rPr>
        <w:t>其它类</w:t>
      </w:r>
    </w:p>
    <w:p>
      <w:pPr>
        <w:numPr>
          <w:ilvl w:val="0"/>
          <w:numId w:val="4"/>
        </w:numPr>
        <w:ind w:leftChars="0"/>
        <w:jc w:val="both"/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>会计金融实操</w:t>
      </w:r>
    </w:p>
    <w:p>
      <w:pPr>
        <w:numPr>
          <w:ilvl w:val="0"/>
          <w:numId w:val="0"/>
        </w:numPr>
        <w:ind w:firstLine="210" w:firstLineChars="100"/>
        <w:jc w:val="both"/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  <w:t>会计从业实训  金融实操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 xml:space="preserve">投资理财技能 </w:t>
      </w:r>
    </w:p>
    <w:p>
      <w:pPr>
        <w:numPr>
          <w:ilvl w:val="0"/>
          <w:numId w:val="0"/>
        </w:numPr>
        <w:ind w:leftChars="0" w:firstLine="240" w:firstLineChars="100"/>
        <w:jc w:val="both"/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  <w:t>投资理财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>个人职业发展</w:t>
      </w:r>
    </w:p>
    <w:p>
      <w:pPr>
        <w:numPr>
          <w:ilvl w:val="0"/>
          <w:numId w:val="0"/>
        </w:numPr>
        <w:ind w:leftChars="0"/>
        <w:jc w:val="both"/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  <w:t>游学实训  财经求职  银行招聘考试  农信社</w:t>
      </w: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default" w:ascii="微软雅黑" w:hAnsi="微软雅黑" w:eastAsia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4"/>
          <w:szCs w:val="24"/>
          <w:lang w:val="en-US" w:eastAsia="zh-CN"/>
        </w:rPr>
        <w:t xml:space="preserve">考研留学申请 </w:t>
      </w:r>
    </w:p>
    <w:p>
      <w:pPr>
        <w:numPr>
          <w:ilvl w:val="0"/>
          <w:numId w:val="0"/>
        </w:numPr>
        <w:ind w:leftChars="0"/>
        <w:jc w:val="both"/>
        <w:rPr>
          <w:rFonts w:hint="eastAsia" w:ascii="微软雅黑" w:hAnsi="微软雅黑" w:eastAsia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 w:val="21"/>
          <w:szCs w:val="21"/>
          <w:lang w:val="en-US" w:eastAsia="zh-CN"/>
        </w:rPr>
        <w:t xml:space="preserve">  考研  留学申请</w:t>
      </w:r>
    </w:p>
    <w:p>
      <w:pPr>
        <w:numPr>
          <w:ilvl w:val="0"/>
          <w:numId w:val="0"/>
        </w:numPr>
        <w:ind w:firstLine="240" w:firstLineChars="100"/>
        <w:jc w:val="both"/>
        <w:rPr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240" w:firstLineChars="100"/>
        <w:jc w:val="both"/>
        <w:rPr>
          <w:rStyle w:val="4"/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t>商科在线平台网址：</w:t>
      </w:r>
      <w:r>
        <w:rPr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fldChar w:fldCharType="begin"/>
      </w:r>
      <w:r>
        <w:rPr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instrText xml:space="preserve"> HYPERLINK "http://sdkj.shangke.gaodun.comGlive" </w:instrText>
      </w:r>
      <w:r>
        <w:rPr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t>http://sdkj.shangke.gaodun.com</w:t>
      </w:r>
    </w:p>
    <w:p>
      <w:pPr>
        <w:numPr>
          <w:ilvl w:val="0"/>
          <w:numId w:val="0"/>
        </w:numPr>
        <w:ind w:firstLine="240" w:firstLineChars="100"/>
        <w:jc w:val="both"/>
        <w:rPr>
          <w:rStyle w:val="4"/>
          <w:rFonts w:hint="default" w:ascii="微软雅黑" w:hAnsi="微软雅黑" w:eastAsia="微软雅黑"/>
          <w:b/>
          <w:bCs/>
          <w:sz w:val="24"/>
          <w:szCs w:val="24"/>
          <w:lang w:val="en-US" w:eastAsia="zh-CN"/>
        </w:rPr>
      </w:pPr>
      <w:r>
        <w:rPr>
          <w:rStyle w:val="4"/>
          <w:rFonts w:hint="eastAsia" w:ascii="微软雅黑" w:hAnsi="微软雅黑" w:eastAsia="微软雅黑"/>
          <w:b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Glive</w:t>
      </w:r>
      <w:r>
        <w:rPr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fldChar w:fldCharType="end"/>
      </w:r>
      <w:r>
        <w:rPr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t>直播平台：</w:t>
      </w:r>
      <w:r>
        <w:rPr>
          <w:rStyle w:val="4"/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t>https://glive.gaodu</w:t>
      </w:r>
      <w:bookmarkStart w:id="1" w:name="_GoBack"/>
      <w:bookmarkEnd w:id="1"/>
      <w:r>
        <w:rPr>
          <w:rStyle w:val="4"/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t>n.com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D74BFB"/>
    <w:multiLevelType w:val="singleLevel"/>
    <w:tmpl w:val="C1D74B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67588C9"/>
    <w:multiLevelType w:val="singleLevel"/>
    <w:tmpl w:val="D67588C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D4962A1"/>
    <w:multiLevelType w:val="singleLevel"/>
    <w:tmpl w:val="4D4962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EB785C5"/>
    <w:multiLevelType w:val="singleLevel"/>
    <w:tmpl w:val="6EB785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72533"/>
    <w:rsid w:val="03924FB3"/>
    <w:rsid w:val="0B50606E"/>
    <w:rsid w:val="17902377"/>
    <w:rsid w:val="17B92A5E"/>
    <w:rsid w:val="181B23D2"/>
    <w:rsid w:val="1855584A"/>
    <w:rsid w:val="21227DC9"/>
    <w:rsid w:val="21EA3459"/>
    <w:rsid w:val="22550695"/>
    <w:rsid w:val="26AA1927"/>
    <w:rsid w:val="26C35EEF"/>
    <w:rsid w:val="2E0B634F"/>
    <w:rsid w:val="31741934"/>
    <w:rsid w:val="357936CE"/>
    <w:rsid w:val="35A81839"/>
    <w:rsid w:val="3CA958AD"/>
    <w:rsid w:val="3DED2AE0"/>
    <w:rsid w:val="3F4D5E67"/>
    <w:rsid w:val="437F367B"/>
    <w:rsid w:val="492F30A4"/>
    <w:rsid w:val="4E303718"/>
    <w:rsid w:val="4E7A57FF"/>
    <w:rsid w:val="55474A7D"/>
    <w:rsid w:val="56B545CC"/>
    <w:rsid w:val="5AF61591"/>
    <w:rsid w:val="5C98315C"/>
    <w:rsid w:val="635A28FC"/>
    <w:rsid w:val="63C37E0F"/>
    <w:rsid w:val="65FB5F10"/>
    <w:rsid w:val="701B201A"/>
    <w:rsid w:val="73347CD3"/>
    <w:rsid w:val="75841B51"/>
    <w:rsid w:val="763451F5"/>
    <w:rsid w:val="792532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微笑的鱼</cp:lastModifiedBy>
  <dcterms:modified xsi:type="dcterms:W3CDTF">2020-02-22T02:10:16Z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